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020-8k_richtech.htm"/>
      <w:bookmarkStart w:id="1" w:name="ksea03060208k_richtech"/>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92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September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B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2_edei--EntityFileNumber_c20260921"/>
            <w:bookmarkEnd w:id="6"/>
            <w:r>
              <w:rPr>
                <w:b/>
                <w:sz w:val="20"/>
              </w:rPr>
              <w:t>001-41866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88-2870106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2975 Lincoln Rd,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Las Vegas, </w:t>
      </w:r>
      <w:bookmarkStart w:id="10" w:name="xdx_905_edei--EntityAddressStateOrProvin"/>
      <w:bookmarkEnd w:id="10"/>
      <w:r>
        <w:rPr>
          <w:rFonts w:ascii="Times New Roman;Times;Serif" w:hAnsi="Times New Roman;Times;Serif"/>
          <w:b/>
          <w:i w:val="false"/>
          <w:caps w:val="false"/>
          <w:smallCaps w:val="false"/>
          <w:sz w:val="20"/>
        </w:rPr>
        <w:t xml:space="preserve">NV </w:t>
      </w:r>
      <w:bookmarkStart w:id="11" w:name="xdx_908_edei--EntityAddressPostalZipCode"/>
      <w:bookmarkEnd w:id="11"/>
      <w:r>
        <w:rPr>
          <w:rFonts w:ascii="Times New Roman;Times;Serif" w:hAnsi="Times New Roman;Times;Serif"/>
          <w:b/>
          <w:i w:val="false"/>
          <w:caps w:val="false"/>
          <w:smallCaps w:val="false"/>
          <w:sz w:val="20"/>
        </w:rPr>
        <w:t>89115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3_edei--CityAreaCode_c20260921__20"/>
      <w:bookmarkEnd w:id="12"/>
      <w:r>
        <w:rPr>
          <w:rFonts w:ascii="Times New Roman;Times;Serif" w:hAnsi="Times New Roman;Times;Serif"/>
          <w:b/>
          <w:i w:val="false"/>
          <w:caps w:val="false"/>
          <w:smallCaps w:val="false"/>
          <w:sz w:val="20"/>
        </w:rPr>
        <w:t xml:space="preserve">866) </w:t>
      </w:r>
      <w:bookmarkStart w:id="13" w:name="xdx_90A_edei--LocalPhoneNumber_c20260921"/>
      <w:bookmarkEnd w:id="13"/>
      <w:r>
        <w:rPr>
          <w:rFonts w:ascii="Times New Roman;Times;Serif" w:hAnsi="Times New Roman;Times;Serif"/>
          <w:b/>
          <w:i w:val="false"/>
          <w:caps w:val="false"/>
          <w:smallCaps w:val="false"/>
          <w:sz w:val="20"/>
        </w:rPr>
        <w:t>236-3835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5_edei--SolicitingMaterial_c202609"/>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280" w:type="dxa"/>
            <w:tcBorders/>
            <w:shd w:fill="CCEEFF" w:val="clear"/>
            <w:tcMar>
              <w:bottom w:w="0" w:type="dxa"/>
            </w:tcMar>
            <w:vAlign w:val="center"/>
          </w:tcPr>
          <w:p>
            <w:pPr>
              <w:pStyle w:val="TableContents"/>
              <w:bidi w:val="0"/>
              <w:spacing w:before="0" w:after="283"/>
              <w:jc w:val="center"/>
              <w:rPr>
                <w:sz w:val="20"/>
              </w:rPr>
            </w:pPr>
            <w:bookmarkStart w:id="18" w:name="xdx_909_edei--Security12bTitle_c20260921"/>
            <w:bookmarkEnd w:id="18"/>
            <w:r>
              <w:rPr>
                <w:sz w:val="20"/>
              </w:rPr>
              <w:t>Class B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E_edei--TradingSymbol_c20260921__2"/>
            <w:bookmarkEnd w:id="19"/>
            <w:r>
              <w:rPr>
                <w:sz w:val="20"/>
              </w:rPr>
              <w:t>RR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4_edei--SecurityExchangeName_c2026"/>
            <w:bookmarkEnd w:id="20"/>
            <w:r>
              <w:rPr>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3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a current report on Form 8-K filed on August 25, 2025, Richtech Robotics Inc. (the “Company”) entered into a Master Services Agreement (the “MSA”), with a national retailer (the “Client”), pursuant to which the Company agreed to work on project(s) for the Client under additional statement(s) of work (the “SOW”) to be completed by the Company and the Client or work order(s) to be issued by the Client. On September 18, 2026, the Company received a SOW under the MSA, pursuant to which the Client agreed to purchase and deploy 200 of the Company’s DUST-E autonomous cleaning robots over a five-year period. The SOW also covers ongoing ancillary services such as automated reporting and remote support.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285" w:type="dxa"/>
        <w:jc w:val="left"/>
        <w:tblInd w:w="0" w:type="dxa"/>
        <w:shd w:fill="FFFFFF" w:val="clear"/>
        <w:tblLayout w:type="fixed"/>
        <w:tblCellMar>
          <w:top w:w="0" w:type="dxa"/>
          <w:left w:w="0" w:type="dxa"/>
          <w:bottom w:w="28" w:type="dxa"/>
          <w:right w:w="0" w:type="dxa"/>
        </w:tblCellMar>
      </w:tblPr>
      <w:tblGrid>
        <w:gridCol w:w="665"/>
        <w:gridCol w:w="60"/>
        <w:gridCol w:w="6560"/>
      </w:tblGrid>
      <w:tr>
        <w:trPr/>
        <w:tc>
          <w:tcPr>
            <w:tcW w:w="665" w:type="dxa"/>
            <w:tcBorders>
              <w:bottom w:val="single" w:sz="12" w:space="0" w:color="000000"/>
            </w:tcBorders>
            <w:shd w:fill="FFFFFF" w:val="clear"/>
            <w:vAlign w:val="center"/>
          </w:tcPr>
          <w:p>
            <w:pPr>
              <w:pStyle w:val="TableContents"/>
              <w:bidi w:val="0"/>
              <w:spacing w:before="0" w:after="283"/>
              <w:jc w:val="both"/>
              <w:rPr>
                <w:b/>
                <w:sz w:val="20"/>
              </w:rPr>
            </w:pPr>
            <w:r>
              <w:rPr>
                <w:b/>
                <w:sz w:val="20"/>
              </w:rPr>
              <w:t>Exhibit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560" w:type="dxa"/>
            <w:tcBorders>
              <w:bottom w:val="single" w:sz="12" w:space="0" w:color="000000"/>
            </w:tcBorders>
            <w:shd w:fill="FFFFFF" w:val="clear"/>
            <w:vAlign w:val="center"/>
          </w:tcPr>
          <w:p>
            <w:pPr>
              <w:pStyle w:val="TableContents"/>
              <w:bidi w:val="0"/>
              <w:spacing w:before="0" w:after="283"/>
              <w:jc w:val="both"/>
              <w:rPr>
                <w:b/>
                <w:sz w:val="20"/>
              </w:rPr>
            </w:pPr>
            <w:r>
              <w:rPr>
                <w:b/>
                <w:sz w:val="20"/>
              </w:rPr>
              <w:t>Description</w:t>
            </w:r>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6560"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155" w:type="dxa"/>
        <w:jc w:val="left"/>
        <w:tblInd w:w="0" w:type="dxa"/>
        <w:tblLayout w:type="fixed"/>
        <w:tblCellMar>
          <w:top w:w="0" w:type="dxa"/>
          <w:left w:w="0" w:type="dxa"/>
          <w:bottom w:w="0" w:type="dxa"/>
          <w:right w:w="0" w:type="dxa"/>
        </w:tblCellMar>
      </w:tblPr>
      <w:tblGrid>
        <w:gridCol w:w="2240"/>
        <w:gridCol w:w="320"/>
        <w:gridCol w:w="590"/>
        <w:gridCol w:w="3005"/>
      </w:tblGrid>
      <w:tr>
        <w:trPr/>
        <w:tc>
          <w:tcPr>
            <w:tcW w:w="2240"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b/>
                <w:sz w:val="20"/>
              </w:rPr>
            </w:pPr>
            <w:r>
              <w:rPr>
                <w:b/>
                <w:sz w:val="20"/>
              </w:rPr>
              <w:t>Richtech Robotics Inc.</w:t>
            </w:r>
          </w:p>
        </w:tc>
      </w:tr>
      <w:tr>
        <w:trPr/>
        <w:tc>
          <w:tcPr>
            <w:tcW w:w="22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59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Zhenwu (Wayne) Huang</w:t>
            </w:r>
          </w:p>
        </w:tc>
      </w:tr>
      <w:tr>
        <w:trPr/>
        <w:tc>
          <w:tcPr>
            <w:tcW w:w="22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05" w:type="dxa"/>
            <w:tcBorders/>
            <w:vAlign w:val="center"/>
          </w:tcPr>
          <w:p>
            <w:pPr>
              <w:pStyle w:val="TableContents"/>
              <w:bidi w:val="0"/>
              <w:spacing w:before="0" w:after="283"/>
              <w:jc w:val="left"/>
              <w:rPr>
                <w:sz w:val="20"/>
              </w:rPr>
            </w:pPr>
            <w:r>
              <w:rPr>
                <w:sz w:val="20"/>
              </w:rPr>
              <w:t>Zhenwu (Wayne) Huang</w:t>
            </w:r>
          </w:p>
        </w:tc>
      </w:tr>
      <w:tr>
        <w:trPr/>
        <w:tc>
          <w:tcPr>
            <w:tcW w:w="22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05" w:type="dxa"/>
            <w:tcBorders/>
            <w:vAlign w:val="center"/>
          </w:tcPr>
          <w:p>
            <w:pPr>
              <w:pStyle w:val="TableContents"/>
              <w:bidi w:val="0"/>
              <w:spacing w:before="0" w:after="283"/>
              <w:jc w:val="left"/>
              <w:rPr>
                <w:sz w:val="20"/>
              </w:rPr>
            </w:pPr>
            <w:r>
              <w:rPr>
                <w:sz w:val="20"/>
              </w:rPr>
              <w:t>Chief Executive Officer and Director</w:t>
            </w:r>
          </w:p>
        </w:tc>
      </w:tr>
      <w:tr>
        <w:trPr/>
        <w:tc>
          <w:tcPr>
            <w:tcW w:w="22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20"/>
              </w:rPr>
            </w:pPr>
            <w:r>
              <w:rPr>
                <w:sz w:val="20"/>
              </w:rPr>
              <w:t>Dated: September 21, 2026</w:t>
            </w:r>
          </w:p>
        </w:tc>
        <w:tc>
          <w:tcPr>
            <w:tcW w:w="32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507</Words>
  <Characters>2742</Characters>
  <CharactersWithSpaces>3253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