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23, 2025</w:t>
      </w:r>
    </w:p>
    <w:p>
      <w:pPr>
        <w:spacing w:after="0" w:line="3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5"/>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REGISTRATION STATEMENT UNDER THE SECURITIES ACT OF 1933</w:t>
            </w:r>
          </w:p>
        </w:tc>
        <w:tc>
          <w:tcPr>
            <w:tcW w:w="2640" w:type="dxa"/>
            <w:vAlign w:val="bottom"/>
          </w:tcPr>
          <w:p>
            <w:pPr>
              <w:spacing w:after="0"/>
              <w:rPr>
                <w:sz w:val="20"/>
                <w:szCs w:val="20"/>
                <w:color w:val="auto"/>
              </w:rPr>
            </w:pPr>
          </w:p>
        </w:tc>
      </w:tr>
      <w:tr>
        <w:trPr>
          <w:trHeight w:val="34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6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980" w:type="dxa"/>
            <w:vAlign w:val="bottom"/>
            <w:gridSpan w:val="4"/>
          </w:tcPr>
          <w:p>
            <w:pPr>
              <w:jc w:val="center"/>
              <w:ind w:right="9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640" w:type="dxa"/>
            <w:vAlign w:val="bottom"/>
          </w:tcPr>
          <w:p>
            <w:pPr>
              <w:spacing w:after="0"/>
              <w:rPr>
                <w:sz w:val="20"/>
                <w:szCs w:val="20"/>
                <w:color w:val="auto"/>
              </w:rPr>
            </w:pPr>
          </w:p>
        </w:tc>
      </w:tr>
      <w:tr>
        <w:trPr>
          <w:trHeight w:val="37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3569</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86-2870106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center"/>
              <w:ind w:right="8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4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6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2975 Lincoln 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Zhenwu (Wayne) Huang</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 Richtech Robotics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2975 Lincoln 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send a copy of all communications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Richard I. Anslow,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Lijia Sanchez,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1345 Avenue of the Americas,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proposed sale to the public: From time to time after the effective date of this Registration Statement.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9" w:lineRule="exact"/>
        <w:rPr>
          <w:sz w:val="24"/>
          <w:szCs w:val="24"/>
          <w:color w:val="auto"/>
        </w:rPr>
      </w:pPr>
    </w:p>
    <w:p>
      <w:pPr>
        <w:sectPr>
          <w:pgSz w:w="11900" w:h="16838" w:orient="portrait"/>
          <w:cols w:equalWidth="0" w:num="2">
            <w:col w:w="5480" w:space="720"/>
            <w:col w:w="5040"/>
          </w:cols>
          <w:pgMar w:left="320" w:top="225" w:right="339" w:bottom="1440" w:gutter="0" w:footer="0" w:header="0"/>
          <w:type w:val="continuous"/>
        </w:sect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(the “Base Prospectus”), which covers the offering, issuance and sale by us from time to time of an indeterminate amount of our Class B common stock, preferred stock, purchase contracts, warrants, subscriptions rights, depositary shares, debt securities and/or units, in one or more offerings;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 the market” offering prospectus (the “ATM Prospectus”) which covers the offering, issuance and sale by us of up to $1,000,000,000 of our Class B common stock that may be issued and sold from time to time under the At The Market Offering Agreement (as amended, supplemented and/or restated from time to time, the “ATM Agreement”) with Rodman &amp; Renshaw LLC, as lead agent, and H.C. Wainwright &amp; Co., LLC.</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other than the shares of Class B common stock covered by the ATM Prospectus will be specified in a prospectus supplement to the Base Prospectus. The specific terms of the securities to be issued and sold under the ATM Agreement are specified in the ATM Prospectus that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Richtech Robotics Inc. (“Richtech,” the “Company,” “we,” “us” or “our”):</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par value $0.0001 per share (the “Class B Common Stock” or the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which includes a description of the method and terms of this offering.</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Capital Market of The Nasdaq Stock Market LLC (“Nasdaq Capital Market”) under the symbol “RR.” The last reported sale price of our Class B Common Stock on September 22, 2025 was $5.54 per share.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as such, we have elected to take advantage of certain reduced public company reporting requirements for this prospectus and future filings. See “Prospectus Summary — Implications of Being an Emerging Growth Company.”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“Risk Factors” beginning on page 2 and the risk factors in our most recent Annual Report on Form 10-K/A, which is incorporated by reference herein, as well as in any other recently filed quarterly or current reports and, if any, in the relevant prospectus supplement. We urge you to carefully read this prospectus and any applicable prospectus supplement, together with the documents we incorporate by reference, describing the terms of these securities before investing.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8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2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8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980" w:type="dxa"/>
            <w:vAlign w:val="bottom"/>
            <w:tcBorders>
              <w:bottom w:val="single" w:sz="8" w:color="CCEEFF"/>
            </w:tcBorders>
            <w:gridSpan w:val="5"/>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5"/>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720" w:type="dxa"/>
            <w:vAlign w:val="bottom"/>
            <w:gridSpan w:val="2"/>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5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720" w:type="dxa"/>
            <w:vAlign w:val="bottom"/>
            <w:gridSpan w:val="2"/>
            <w:shd w:val="clear" w:color="auto" w:fill="CCEEFF"/>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6"/>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1640" w:type="dxa"/>
            <w:vAlign w:val="bottom"/>
            <w:tcBorders>
              <w:top w:val="single" w:sz="8" w:color="CCEEFF"/>
            </w:tcBorders>
            <w:gridSpan w:val="3"/>
          </w:tcPr>
          <w:p>
            <w:pPr>
              <w:spacing w:after="0"/>
              <w:rPr>
                <w:sz w:val="15"/>
                <w:szCs w:val="15"/>
                <w:color w:val="auto"/>
              </w:rPr>
            </w:pPr>
          </w:p>
        </w:tc>
        <w:tc>
          <w:tcPr>
            <w:tcW w:w="6720" w:type="dxa"/>
            <w:vAlign w:val="bottom"/>
            <w:tcBorders>
              <w:top w:val="single" w:sz="8" w:color="CCEEFF"/>
            </w:tcBorders>
            <w:gridSpan w:val="2"/>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00" w:type="dxa"/>
            <w:vAlign w:val="bottom"/>
            <w:tcBorders>
              <w:bottom w:val="single" w:sz="8" w:color="CCEEFF"/>
            </w:tcBorders>
            <w:gridSpan w:val="9"/>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45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720" w:type="dxa"/>
            <w:vAlign w:val="bottom"/>
            <w:gridSpan w:val="2"/>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126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308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1440" w:type="dxa"/>
            <w:vAlign w:val="bottom"/>
            <w:gridSpan w:val="2"/>
          </w:tcPr>
          <w:p>
            <w:pPr>
              <w:spacing w:after="0"/>
              <w:rPr>
                <w:sz w:val="15"/>
                <w:szCs w:val="15"/>
                <w:color w:val="auto"/>
              </w:rPr>
            </w:pPr>
          </w:p>
        </w:tc>
        <w:tc>
          <w:tcPr>
            <w:tcW w:w="6720" w:type="dxa"/>
            <w:vAlign w:val="bottom"/>
            <w:gridSpan w:val="2"/>
          </w:tcPr>
          <w:p>
            <w:pPr>
              <w:jc w:val="center"/>
              <w:ind w:left="57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utilizing a “shelf” registration process as a “well-known seasoned issuer” as defined in Rule 405 under the Securities Act of 1933, as amended (the “Securities Act”). Under this shelf registration process, we may offer and sell, either individually or in combination, in one or more offerings, any of the securities described in this prospectus. This prospectus provides you with a general description of the securities we may offer. Each time we offer securities under this prospectus, we will provide a prospectus supplement to this prospectus that will contain more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Additional Information” and “Incorporation of Documents by Reference.”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8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September 30, 2024 and 2023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533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5337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herein, and any amendment or supplement hereto, unless otherwise indicated, “we,” “us,” “our,” the “Company,” or “Richtech” means Richtech Robotics Inc., including its consolidated subsidiaries. Unless otherwise indicated, all references in this prospectus to “dollars” or “$” refer to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while our medical robots are utilized for tasks such as delivering medications and supplies in hospitals, enhancing operational efficiency. Our current customer base includes major hotel brands, national chain restaurants, leading senior care facilities, and top casino management companies, and prominent healthcare institutions.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preparing drinks, and supporting logistics in hospitals. Our ACP platform will allow businesses to plug in their robots and immediately leverage an immense amount of data to optimize workflows, lower management complexity, and minimize labor dependency.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76" w:lineRule="exact"/>
        <w:rPr>
          <w:sz w:val="20"/>
          <w:szCs w:val="20"/>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2975 Lincoln Rd, Las Vegas, NV 89115, and our telephone number is (866) 236-3835. Our corporate website address is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Securities and Exchange Commission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we intend to use the net proceeds from these sales for general corporate purposes. The amounts and timing of these expenditures will depend on numerous factors, including the development of our current business initiatives. We have no specific acquisition contemplated at this time. Pending use of the net proceeds, we intend to invest the net proceeds in short-term, interest-bearing, investment-grade securities or in cash or money market funds.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0" w:lineRule="exact"/>
        <w:rPr>
          <w:sz w:val="20"/>
          <w:szCs w:val="20"/>
          <w:color w:val="auto"/>
        </w:rPr>
      </w:pPr>
    </w:p>
    <w:p>
      <w:pPr>
        <w:ind w:left="1000" w:right="20" w:hanging="344"/>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162" w:lineRule="exact"/>
        <w:rPr>
          <w:sz w:val="20"/>
          <w:szCs w:val="20"/>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 the market” offering within the meaning of Rule 415(a)(4) of the Securities Act;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Class B Common Stock, which is quoted on the Nasdaq Capital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the Nasdaq Capital Market may engage in passive market making transactions in our Class B Common Stock or redeemable listed warrants on the Nasdaq Capital Market in accordance with Regulation M under the Exchange Act, during the business day prior to the pricing of the offering, before the commencement of offers or sales of our Class B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Nevada law and our second amended and restated articles of incorporation, referred to herein as our charter, and our second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an aggregate of 300,000,000 shares of common stock, including 100,000 shares of Class A common stock, $0.0001 par value per share (the “Class A Common Stock”) and 200,000,000 shares of Class B Common Stock, and 10,000,000 shares of “blank check” preferred stock, par value $0.0001 per share.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an indeterminate amount in the aggregate of:</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exchangeable for or convertible into shares of common stock or preferred stock that may be sold by us pursuant to this prospectus or any combination of the foregoing. The preferred stock may also be exchangeable for and/or convertible into shares of common stock or another series of preferred stock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 We will not issue any securities exchangeable or convertible into securities that have not been registered on the registration statement of which this prospectus forms a part, unless such convertible or exchangeable securities are not exercisable or convertible within one year of the date of sale of the convertible or exchangeable 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22, 2025, there were 147,657,439 shares of the Company’s Class B Common Stock issued and outstanding and 39,934,846 shares of the Company’s Class A Common Stock issued and outstanding. In addition, there were 3,629,547 shares of Class B Common Stock issuable upon exercise of outstanding warrants and 614,754 shares of Class B Common Stock issuable upon vesting of restricted stock units.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required by Nevada Revised Statutes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spacing w:after="0" w:line="187"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7"/>
          <w:szCs w:val="17"/>
          <w:color w:val="auto"/>
        </w:rPr>
        <w:t>Our Class B Common Stock is listed on the Nasdaq Capital Market under the trading symbol “RR.” The transfer agent and registrar for our Class B Common Stock is Continental Stock Transfer &amp; Trust Company. The Transfer Agent’s address is 1 State Street,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22, 2025, we have 1,000,000 shares of preferred stock authorized, all of which are undesignated, and no shares of preferred stock outstanding.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charter, our board of directors may by resolution authorize the issuance of shares of preferred stock from time to time in one or more series. We may reissue shares of preferred stock that are redeemed, purchased, or otherwise acquired by us unless otherwise provided by law. Our board of directors is authorized to fix or alter the designations, powers and preferences, and relative, participating, optional or otherwise rights if any, and qualifications, limitations or restrictions thereof, including, without limitation, dividend rights (and whether dividends are cumulative), conversion rights, if any, voting rights (including the number of votes if any, per share, as well as the number of members, if any, of the board of directors or the percentage of members, if any, of the board of directors each class or series of preferred stock may be entitled to elect), rights and terms of redemption (including, sinking fund provisions, if any), redemption price and liquidation preferences of any wholly unissued series of preferred stock, and the number of shares constituting any such series and the designation thereof, and to increase or decrease the number of shares of any such series subsequent to the issuance of shares of such series, but not below the number of shares of such series then issued.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limitations on our ability to declare, set aside or pay any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shares of preferred stock under this prospectus, after receipt of payment therefor, the shares will be fully paid and non-assessable.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Nevada Law and Our Charter and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at any time by a resolution adopted by any three or more directors, and may not be called by any other person or persons. Our bylaws prohibit the conduct of any business at a special meeting other than as specified in the notice for such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spacing w:after="0" w:line="17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For business to be properly brought before an annual meeting, the proposing stockholder must have given written notice of the nomination or proposal, either by personal delivery or by United States mail to the Secretary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first anniversary date of the preceding year’s annual meeting. If the date of the annual meeting is advanced more than thirty (30) days prior to such anniversary date or delayed more than seventy (70) days after such anniversary date then to be timely such notice must be so delivered, or mailed and received,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if later,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was first made. In no event will an adjournment or postponement of an annual meeting of stockholders begin a new time period for giving a proposing stockholder’s notice as provided above.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business to be properly brought before a special meeting of stockholders, the notice of the meeting must set forth the nature of the business to be considered. A person or persons who have properly made a written request for a special meeting may provide the information required for notice of a stockholder proposal simultaneously with the written request for the meeting submitted to the Secretary or within ten calendar days after delivery of the written request for the meeting to the Secretary.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also specify requirements as to the form and content of the stockholder’s notice and allow the chairman of the meeting to prescribe rules and regulations for the conduct of stockholders’ meetings, which may preclude the conduct of certain business at a meeting if the rules and regulations are not followed.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bylaws provide that the number of directors will be fixed by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Combinations With Interested Stockholders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two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 We have not opted out of these sections in our charter.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Acquisition of Controlling Interest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charter and bylaws.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NRS 78.335, one or more of the incumbent directors may be removed from office by the vote of stockholders representing two-thirds or more of the voting power of the issued and outstanding stock entitled to vote. Our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NRS does not permit stockholders to cumulate their votes other than in the election of directors, and then only if expressly authorized by the corporation’s articles of incorporation. Our charter does not expressly authorize cumulative voting.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 equity securities issued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Exercise of Warrants</w:t>
      </w:r>
      <w:r>
        <w:rPr>
          <w:rFonts w:ascii="Times New Roman" w:cs="Times New Roman" w:eastAsia="Times New Roman" w:hAnsi="Times New Roman"/>
          <w:sz w:val="18"/>
          <w:szCs w:val="18"/>
          <w:color w:val="auto"/>
        </w:rPr>
        <w:t>. Each warrant will entitle the holder of warrants to purchase the amount of securities or other rights, at the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Currently Outstanding Warrants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22, 2025, we had the following warrants outstanding that were issued in connection with our initial public offering or in private placement transactions: 105,000 Representative’s Warrants (as defined below), 3,067,482 Common Warrants (as defined below), 751,051 Placement Agent Warrants (as defined below) and 2,699,797 Inducement Warrants (as defined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Representative’s Warrants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issued to the representative of the underwriters and its designee (the “Representative”) warrants (the “Representative’s Warrants”) to purchase 105,000 shares of Class B Common Stock. In connection with the partial exercise of the underwriters’ over-allotment option, the Company issued to the Representative and its designee additional Representative’s Warrants to purchase 2,128 shares of Class B Common Stock. The Representative’s Warrants are exercisable at a per share exercise price equal to $6.00 at any time and from time to time, in whole or in part, during the period commencing on May 21, 2024, and terminating on November 21, 2028. Neither the Representative’s Warrants nor any of the shares issued upon exercise of the Representative’s Warrants may be sold, transferred, assigned, pledged or hypothecated, or be the subject of any hedging, short sale, derivative, put or call transaction that would result in the effective economic disposition of such securities by any person, for a period of six (6) months immediately following the commencement of sales of the initial public offering. The Representative’s Warrants also provides for one demand registration right of the shares underlying the Representative’s Warrants at the Company’s expense; one additional demand registration at the warrant holders’ expense; and unlimited “piggyback” registration rights. The registration rights will only be exercisable within a period of five years after November 16, 2023. The Representative’s Warrants also contain customary anti-dilution provisions.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22, 2025, an aggregate of 105,000 Representative’s Warrants remain outstanding.</w:t>
      </w:r>
      <w:r>
        <w:rPr>
          <w:rFonts w:ascii="Times New Roman" w:cs="Times New Roman" w:eastAsia="Times New Roman" w:hAnsi="Times New Roman"/>
          <w:sz w:val="29"/>
          <w:szCs w:val="29"/>
          <w:color w:val="auto"/>
          <w:vertAlign w:val="superscript"/>
        </w:rPr>
        <w:t>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Warrants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3, 2024, the Company issued warrants to purchase up to 15,555,557 shares of Class B Common Stock (the “Common Warrants”) to certain investors in connection with the closing of a registered offering (the “Offering”), pursuant to the terms of a Securities Purchase Agreement, dated August 29, 2024. The Common Warrants are exercisable immediately on the date of issuance at an exercise price of $1.35 per share and will expire five years from the date of issuance.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22, 2025, an aggregate of 3,629,547 Common Warrants remain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Warrants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Rodman &amp; Renshaw LLC (“Rodman”) acted as the exclusive placement agent (the “Placement Agent”) for the Company in connection with the Offering. Pursuant to an engagement letter dated June 4, 2024, the Company issued to the Placement Agent warrants (the “Placement Agent Warrants”) to purchase a number of shares of Class B Common Stock equal to 7.0% of the aggregate number of shares and pre-funded warrants sold in the Offering. The Placement Agent Warrants have substantially the same terms as the Common Warrants, except that the Placement Agent Warrants have an exercise price of 125% of the combined offering price per Share and accompanying Common Warrant and have an expiration date of five years from the commencement of sales in the Offering.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Pre-Funded Warrants, Common Warrants, Placement Agent Warrants and the shares of Class B Common Stock issuable upon exercise of the Pre-Funded Warrants, Common Warrants, Placement Agent Warrants were offered and sold by the Company pursuant to the Prospectus, which formed a part of the Company’s registration statement on Form S-1 (File No. 333-281789), filed with the SEC on August 27, 2024 and subsequently declared effective on August 29, 2024, and an additional registration statement on Form S-1MEF filed pursuant to Rule 462(b) under the Securities Act of 1933, as amended, which became automatically effective on August 29,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22, 2025, an aggregate of 751,051 Placement Agent Warrants in connection with the initial closing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Company</w:t>
      </w:r>
      <w:r>
        <w:rPr>
          <w:rFonts w:ascii="Times New Roman" w:cs="Times New Roman" w:eastAsia="Times New Roman" w:hAnsi="Times New Roman"/>
          <w:sz w:val="18"/>
          <w:szCs w:val="18"/>
          <w:color w:val="auto"/>
        </w:rPr>
        <w:t>: Please confirm.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Inducement Warrants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10, 2025, the Company entered into a warrant exercise inducement offer letter with Armistice Capital, LLC, a holder of its existing Common Warrants exercisable for an aggregate of 2,699,797 shares of its Class B Common Stock (collectively, the “Existing Warrants”), to exercise its Existing Warrants at the existing exercise price of $1.35 per share, generating gross proceeds of approximately $3,644,726 before deducting financial advisory fees. In consideration for the immediate exercise of the Existing Warrants, the Company issued to such holder 2,699,797 new warrants (the “Inducement Warrants”) with an exercise price of $4.00 per share, which are immediately exercisable and valid for five years from issuance (the “Warrant Inducement”). The shares of Class B Common Stock underlying the Inducement Warrants are entitled to registration rights.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22, 2025, an aggregate of 2,699,797 Inducement Warrants remain outstanding.</w:t>
      </w:r>
    </w:p>
    <w:p>
      <w:pPr>
        <w:spacing w:after="0" w:line="2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connection with the Warrant Inducement, and pursuant to the engagement letter with Rodman, the Company issued to Rodman additional Placement Agent Warrants to purchase an aggregate of 188,986 shares of Class B Common Stock at an exercise price of $5.00 per share, which are immediately exercisable and valid for five years from issuance. As of September 22, 2025, all such additional Placement Agent Warrants remain outstanding.</w:t>
      </w:r>
      <w:r>
        <w:rPr>
          <w:rFonts w:ascii="Times New Roman" w:cs="Times New Roman" w:eastAsia="Times New Roman" w:hAnsi="Times New Roman"/>
          <w:sz w:val="29"/>
          <w:szCs w:val="29"/>
          <w:color w:val="auto"/>
          <w:vertAlign w:val="superscript"/>
        </w:rPr>
        <w:t>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Company</w:t>
      </w:r>
      <w:r>
        <w:rPr>
          <w:rFonts w:ascii="Times New Roman" w:cs="Times New Roman" w:eastAsia="Times New Roman" w:hAnsi="Times New Roman"/>
          <w:sz w:val="18"/>
          <w:szCs w:val="18"/>
          <w:color w:val="auto"/>
        </w:rPr>
        <w:t>: Please confirm.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may offer fractional shares of preferred stock, rather than full shares of preferred stock. If we decide to offer fractional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distribute all cash dividends or other cash distributions received by it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the record holders of depositary shares relating to such preferred shares in proportion to the numbers of depositary shares held on the relevant record date.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Redemption of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we redeem the preferred stock, the depositary will redeem a number of depositary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of Underlying Shares</w:t>
      </w:r>
      <w:r>
        <w:rPr>
          <w:rFonts w:ascii="Times New Roman" w:cs="Times New Roman" w:eastAsia="Times New Roman" w:hAnsi="Times New Roman"/>
          <w:sz w:val="18"/>
          <w:szCs w:val="18"/>
          <w:color w:val="auto"/>
        </w:rPr>
        <w:t>. Upon receipt of notice of any meeting at which the holders of our preferred stock of any series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Withdrawal of Shares</w:t>
      </w:r>
      <w:r>
        <w:rPr>
          <w:rFonts w:ascii="Times New Roman" w:cs="Times New Roman" w:eastAsia="Times New Roman" w:hAnsi="Times New Roman"/>
          <w:sz w:val="18"/>
          <w:szCs w:val="18"/>
          <w:color w:val="auto"/>
        </w:rPr>
        <w:t>. Upon surrender of depositary receipts representing any number of whole shares at the depositary’s office, unless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Amendment and Termination of Depositary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depositary receipt evidencing the depositary shares and any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to us notice of its election to do so. We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at any time. Any resignation or removal will take effect upon the appointment of a successor depositary and its acceptance of appointment.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any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Each depositary will forward to the holders of the applicable depositary shares all notices, reports and communications from us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such depositary and which we are required to furnish the holders of the preferred stock represented by such depositary shares.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depositary agreement may contain provisions that limit our liability and the liability of the depositary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24" w:name="page25"/>
    <w:bookmarkEnd w:id="24"/>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Ellenoff Grossman &amp; Schole LLP, New York, New York and, with respect to certain matters of Nevada law, Fennemore Craig, P.C., Las Vegas, Nevada. If legal matters in connection with offerings made by this prospectus are passed on by counsel for the underwriters, dealers or agents, if any, that counsel will be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September 30, 2024 and 2023 and for the two years then ended have been incorporated by reference into this prospectus and the registration statement of which it forms a part in reliance upon the report of Bush &amp; Associates CPA, independent registered public accounting firm and upon the report of such firm given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quarter and periodic reports, proxy statements and other information with the SEC using its EDGAR system. The SEC maintains a web site that contains reports, proxy and information statements and other information regarding registrants that file electronically with the SEC. The address of such site is http//www.sec.gov.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All filings we file pursuant to the Exchange Act after the date of the registration statement of which this prospectus forms a part and prior to effectiveness of the Registration Statement shall be deemed to be incorporated by reference into the prospectus. We have filed or may file the following documents with the SEC and they are incorporated herein by reference as of their respective dates of filing.</w:t>
      </w:r>
    </w:p>
    <w:p>
      <w:pPr>
        <w:spacing w:after="0" w:line="192"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year ended September 30, 2024, filed with the SEC on January 14, 2025, as amended on </w:t>
        </w:r>
        <w:r>
          <w:rPr>
            <w:rFonts w:ascii="Times New Roman" w:cs="Times New Roman" w:eastAsia="Times New Roman" w:hAnsi="Times New Roman"/>
            <w:sz w:val="18"/>
            <w:szCs w:val="18"/>
            <w:u w:val="single" w:color="auto"/>
            <w:color w:val="0000EE"/>
          </w:rPr>
          <w:t>Form 10-</w:t>
        </w:r>
      </w:hyperlink>
      <w:hyperlink r:id="rId42">
        <w:r>
          <w:rPr>
            <w:rFonts w:ascii="Times New Roman" w:cs="Times New Roman" w:eastAsia="Times New Roman" w:hAnsi="Times New Roman"/>
            <w:sz w:val="18"/>
            <w:szCs w:val="18"/>
            <w:u w:val="single" w:color="auto"/>
            <w:color w:val="0000EE"/>
          </w:rPr>
          <w:t>K/A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February 7, 2025 and further amended on</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 xml:space="preserve">March 4, 2025 </w:t>
        </w:r>
      </w:hyperlink>
      <w:hyperlink r:id="rId42">
        <w:r>
          <w:rPr>
            <w:rFonts w:ascii="Times New Roman" w:cs="Times New Roman" w:eastAsia="Times New Roman" w:hAnsi="Times New Roman"/>
            <w:sz w:val="18"/>
            <w:szCs w:val="18"/>
            <w:color w:val="000000"/>
          </w:rPr>
          <w:t>(the “Form 10-K”);</w:t>
        </w:r>
      </w:hyperlink>
    </w:p>
    <w:p>
      <w:pPr>
        <w:spacing w:after="0" w:line="161"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w:t>
      </w:r>
      <w:hyperlink r:id="rId44">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February 14, 2025, May 14, 2025 and August 11, 2025, respectively;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October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May 19,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June 30,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August 25,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August 28,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August 29, 2025 </w:t>
        </w:r>
      </w:hyperlink>
      <w:hyperlink r:id="rId4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September 16, 2025</w:t>
        </w:r>
      </w:hyperlink>
      <w:hyperlink r:id="rId47">
        <w:r>
          <w:rPr>
            <w:rFonts w:ascii="Times New Roman" w:cs="Times New Roman" w:eastAsia="Times New Roman" w:hAnsi="Times New Roman"/>
            <w:sz w:val="18"/>
            <w:szCs w:val="18"/>
            <w:color w:val="000000"/>
          </w:rPr>
          <w:t>, respectively; and</w:t>
        </w:r>
      </w:hyperlink>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B Common Stock contained in </w:t>
      </w:r>
      <w:hyperlink r:id="rId54">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10-K.</w:t>
      </w:r>
    </w:p>
    <w:p>
      <w:pPr>
        <w:spacing w:after="0" w:line="225"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Richtech Robotics Inc., at 2975 Lincoln Rd, Las Vegas, NV 89115. Our telephone number is (866) 236-3835. Information about us is also available at our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$1,000,000,000 of Class B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Offering Agreement, or the Offering Agreement, dated September 23, 2025, with Rodman &amp; Renshaw LLC (“Rodman”), which will serve as the lead agent, and H.C. Wainwright &amp; Co., LLC (“Wainwright”) (each of Rodman and Wainwright individually, an “Agent” and, collectively, the “Agents”), as sales agents and/or principals relating to the shares of our Class B common stock, par value $0.0001 per share, offered by this prospectus and the accompanying prospectus. In accordance with the terms of the Offering Agreement and pursuant to this prospectus, we may offer and sell shares of our Class B common stock having an aggregate offering price of up to $1,000,000,000 from time to time through or to Rodman or such other Agent selected by Rodman (the “Designated Agent”), acting as our sales agent and/or principal.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Class B common stock, if any, under this prospectus will be made by any method permitted that is deemed to be an “at the market offering” as defined in Rule 415(a)(4) promulgated under the Securities Act of 1933, as amended, or the Securities Act, including sales made directly on or through the Nasdaq Capital Market, or any other existing trading market in the United States for Class B common stock, sales made to or through a market maker other than on an exchange or otherwise, directly to the Designated Agent as principal, in negotiated transactions at market prices prevailing at the time of sale or at prices related to such prevailing market prices and/or in any other method permitted by law. The Designated Agent is not required to sell any specific number or dollar amount of the shares but will use commercially reasonable efforts consistent with the customary market practices for similar transactions, to sell on our behalf all of the shares of Class B common stock requested to be sold by us on mutually agreed terms between the Designated Agent and us. The Class B common stock to which this prospectus relates will be sold through the Designated Agent on any given day. There is no arrangement for funds to be received in any escrow, trust or similar arrangement.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Designated Agent will be entitled to compensation at a fixed cash commission rate equal to up to 3.0% of the gross sales price of any shares of Class B common stock sold by it under the Offering Agreement. In connection with the sale of the Class B common stock on our behalf, the Agents will be deemed to be “underwriters” within the meaning of the Securities Act, and the compensation of the Agents may be deemed to be underwriting commissions or discounts. We have also agreed to provide indemnification and contribution to the Agents with respect to certain liabilities, including liabilities under the Securities Act. The offering of shares of Class B common stock pursuant to this prospectus will terminate upon the earlier of (i) the sale of all of the shares of Class B common stock provided for in this prospectus or (ii) termination of the Offering Agreement as permitted therein. See “Plan of Distribution” beginning on page 8 for additional information regarding the compensation to be paid to the Designated Agent.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Nasdaq Capital Market under the symbol “RR.” On September 22, 2025, the last reported sale price of our Class B common stock on the Nasdaq Capital Market was $5.54 per share.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we have elected to take advantage of certain reduced public company reporting requirements for this prospectus and future filings. See “Prospectus Supplement Summary — Implications of Being an Emerging Growth Company.”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read this prospectus and the accompanying prospectus as well as the information incorporated herein and therein by reference carefully before you make your investment decision. See “Risk Factors” beginning on page 2 of this prospectus and on page 3 of the accompanying prospectus and the risk factors that are incorporated by reference into this prospectus from our filings made with the Securities and Exchange Commission pursuant to the Securities Exchange Act of 1934, as amended, for a discussion of the factors you should carefully consider before deciding to invest in our Class B common stock.</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Lead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56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556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55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3020" w:type="dxa"/>
            <w:vAlign w:val="bottom"/>
            <w:tcBorders>
              <w:bottom w:val="single" w:sz="8" w:color="CCEEFF"/>
            </w:tcBorders>
            <w:gridSpan w:val="5"/>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80" w:type="dxa"/>
            <w:vAlign w:val="bottom"/>
            <w:gridSpan w:val="2"/>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80" w:type="dxa"/>
            <w:vAlign w:val="bottom"/>
            <w:tcBorders>
              <w:bottom w:val="single" w:sz="8" w:color="CCEEFF"/>
            </w:tcBorders>
            <w:gridSpan w:val="7"/>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680" w:type="dxa"/>
            <w:vAlign w:val="bottom"/>
            <w:gridSpan w:val="2"/>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5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680" w:type="dxa"/>
            <w:vAlign w:val="bottom"/>
            <w:gridSpan w:val="2"/>
            <w:shd w:val="clear" w:color="auto" w:fill="CCEEFF"/>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680" w:type="dxa"/>
            <w:vAlign w:val="bottom"/>
            <w:gridSpan w:val="2"/>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40" w:type="dxa"/>
            <w:vAlign w:val="bottom"/>
            <w:tcBorders>
              <w:bottom w:val="single" w:sz="8" w:color="CCEEFF"/>
            </w:tcBorders>
            <w:gridSpan w:val="8"/>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jc w:val="center"/>
              <w:ind w:left="54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2"/>
          </w:tcPr>
          <w:p>
            <w:pPr>
              <w:jc w:val="center"/>
              <w:ind w:left="54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680" w:type="dxa"/>
            <w:vAlign w:val="bottom"/>
            <w:tcBorders>
              <w:bottom w:val="single" w:sz="8" w:color="CCEEFF"/>
            </w:tcBorders>
            <w:gridSpan w:val="3"/>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jc w:val="center"/>
              <w:ind w:left="54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45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80" w:type="dxa"/>
            <w:vAlign w:val="bottom"/>
            <w:gridSpan w:val="2"/>
          </w:tcPr>
          <w:p>
            <w:pPr>
              <w:jc w:val="center"/>
              <w:ind w:left="547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relates to an offering of our Class B common stock. Before investing in our Class B common stock offered by this prospectus and the accompanying prospectus, we urge you to carefully read this prospectus, together with the information incorporated by reference as described under “Where You Can Find More Information” and “Incorporation of Certain Information by Reference” in this prospectus and the accompanying prospectus. These documents contain important information that you should consider when making your investment decision.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the information contained in this prospectus differs from or conflicts with the information contained in any document incorporated by reference, the information in this prospectus will control.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deciding whether or not to invest in our Class B common stock, you should rely only on the information contained in, or incorporated by reference into, this prospectus and the accompanying prospectus and any related free writing prospectus that we have authorized for use in connection with this offering. Neither we nor the Agent have authorized anyone to provide you with different information or to make any representation other than those contained in, or incorporated by reference into, this prospectus, the accompanying prospectus and any related free writing prospectus. If anyone provides you with different or inconsistent information or representation, you should not rely on them. This prospectus, the accompanying prospectus and any accompanying supplement to this prospectus, does not constitute an offer to sell or the solicitation of an offer to buy our Class B common stock in any circumstances in which such offer or solicitation is unlawful. You should assume that the information appearing in this prospectus, the accompanying prospectus and any related free writing prospectus and the documents incorporated by reference is accurate only as of their respective dates, regardless of the time of delivery of this prospectus or any related free writing prospectus or any sale of our Class B common stock. Our business, financial condition, results of operations and prospects may have changed materially since those dates.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was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business, financial condition, results of operations or prospects.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to be investment, legal or tax advice. You should consult your own counsel, accountants and other advisers for legal, tax, business, financial and related advice regarding the purchase of our Class B common stock offered by this prospectus.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offering to sell, and are seeking offers to buy, securities only in jurisdictions where such offers and sales are permitted. The distribution of this prospectus and the accompanying prospectus and the offering of securities in certain jurisdictions or to certain persons within such jurisdictions may be restricted by law. Persons outside the United States who come into possession of this prospectus and the accompanying prospectus must inform themselves about and observe any restrictions relating to the offering of securities and the distribution of this prospectus and the accompanying prospectus outside the United States. This prospectus and the accompanying prospectus do not constitute, and may not be used in connection with, an offer to sell, or a solicitation of an offer to buy, any securities offered by this prospectus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“Richtech,” the “Company,” the “Registrant,” “we,” “us” and “our” refer to Richtech Robotics Inc. together with its consolidated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89"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September 30, 2024, and 2023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further prospectus supplements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and any amendments thereto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688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27875" cy="8688070"/>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of the information contained elsewhere in or incorporated by reference into this prospectus. Because this is only a summary, however, it does not contain all the information you should consider before investing in our securities and it is qualified in its entirety by, and should be read in conjunction with, the more detailed information included elsewhere in or incorporated by reference into this prospectus. Before you make an investment decision, you should read this entire prospectus carefully, including the risks of investing in our securities discussed under the section of this prospectus entitled “Risk Factors” and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“we,” “our,” “us,” “Richtech” or the “Company” in this prospectus mean Richtech Robotics Inc. on a consolidated basis with its wholly-owned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while our medical robots are utilized for tasks such as delivering medications and supplies in hospitals, enhancing operational efficiency. Our current customer base includes major hotel brands, national chain restaurants, leading senior care facilities, and top casino management companies, and prominent healthcare institutions.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preparing drinks, and supporting logistics in hospitals. Our ACP platform will allow businesses to plug in their robots and immediately leverage an immense amount of data to optimize workflows, lower management complexity, and minimize labor dependency.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76" w:lineRule="exact"/>
        <w:rPr>
          <w:sz w:val="20"/>
          <w:szCs w:val="20"/>
          <w:color w:val="auto"/>
        </w:rPr>
      </w:pPr>
    </w:p>
    <w:p>
      <w:pPr>
        <w:ind w:left="960" w:right="20" w:hanging="32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2975 Lincoln Rd, Las Vegas, NV 89115, and our telephone number is (866) 236-3835. Our corporate website address is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33" w:name="page34"/>
    <w:bookmarkEnd w:id="33"/>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 offered by us</w:t>
      </w:r>
    </w:p>
    <w:p>
      <w:pPr>
        <w:spacing w:after="0" w:line="225" w:lineRule="exact"/>
        <w:rPr>
          <w:sz w:val="20"/>
          <w:szCs w:val="20"/>
          <w:color w:val="auto"/>
        </w:rPr>
      </w:pPr>
    </w:p>
    <w:p>
      <w:pPr>
        <w:ind w:left="160" w:right="12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Class B common stock outstanding prior to offering</w:t>
      </w:r>
    </w:p>
    <w:p>
      <w:pPr>
        <w:spacing w:after="0" w:line="155" w:lineRule="exact"/>
        <w:rPr>
          <w:sz w:val="20"/>
          <w:szCs w:val="20"/>
          <w:color w:val="auto"/>
        </w:rPr>
      </w:pPr>
    </w:p>
    <w:p>
      <w:pPr>
        <w:ind w:left="16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Class B common stock to be outstanding immediately after this offering</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Offering</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-268605</wp:posOffset>
            </wp:positionV>
            <wp:extent cx="7127875" cy="5790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B common stock with aggregate gross sale proceeds of up to $1,000,000,000.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149,236,024 shares as of September 23, 2025</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 to 329,741,439 shares, after giving effect to the assumed sale of 180,505,415 shares of our Class B common stock at a price of $5.54 per share, which was the closing price of our Class B common stock on the Nasdaq Capital Market on September 22, 2025. The actual number of shares issued will vary depending on the price at which shares may be sold from time to time during this offering.</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Sales of our Class B common stock, if any, under this prospectus will be made by any method permitted by law deemed to be an “at the market” offering as defined in Rule 415 promulgated under the Securities Act, including, without limitation, sales made directly on or through the Nasdaq Capital Market, or any other existing trading market in the United States for our Class B common stock. The Designated Agent is not required to sell any specific number or dollar amount of shares, but will use commercially reasonable efforts consistent with the customary market practices for similar transactions, to sell on our behalf all of the shares of Class B common stock requested to be sold by us on mutually agreed terms between the Designated Agent and us. See section titled “Plan of Distribution” on page 8.</w:t>
      </w:r>
    </w:p>
    <w:p>
      <w:pPr>
        <w:spacing w:after="0" w:line="188" w:lineRule="exact"/>
        <w:rPr>
          <w:sz w:val="20"/>
          <w:szCs w:val="20"/>
          <w:color w:val="auto"/>
        </w:rPr>
      </w:pPr>
    </w:p>
    <w:p>
      <w:pPr>
        <w:sectPr>
          <w:pgSz w:w="11900" w:h="16838" w:orient="portrait"/>
          <w:cols w:equalWidth="0" w:num="2">
            <w:col w:w="2800" w:space="380"/>
            <w:col w:w="7800"/>
          </w:cols>
          <w:pgMar w:left="460" w:top="927" w:right="459" w:bottom="1440" w:gutter="0" w:footer="0" w:header="0"/>
        </w:sectPr>
      </w:pPr>
    </w:p>
    <w:p>
      <w:pPr>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intend to use the net proceeds of this offering for working capital and general corporate purposes. See</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“Use of Proceeds” on page 5.</w:t>
      </w:r>
    </w:p>
    <w:p>
      <w:pPr>
        <w:spacing w:after="0" w:line="203"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securities is highly speculative and involves a high degree of risk. You should carefully</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consider the information set forth in the “Risk Factors” section beginning on page 3 of this prospectus and</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other information included or incorporated by reference into this prospectus before deciding to invest in our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7"/>
          <w:szCs w:val="17"/>
          <w:color w:val="auto"/>
        </w:rPr>
        <w:t>RR.</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Class B common stock to be outstanding after this offering is based on 149,236,024 shares of our Class B common stock outstanding as of September 23, 2025 and excludes, as of that date, the following:</w:t>
      </w:r>
    </w:p>
    <w:p>
      <w:pPr>
        <w:spacing w:after="0" w:line="162" w:lineRule="exact"/>
        <w:rPr>
          <w:sz w:val="20"/>
          <w:szCs w:val="20"/>
          <w:color w:val="auto"/>
        </w:rPr>
      </w:pPr>
    </w:p>
    <w:p>
      <w:pPr>
        <w:ind w:left="960" w:hanging="32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3,629,547 shares of Class B common stock issuable upon the exercise of outstanding warrants;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614,754 shares of Class B common stock reserved for future grants of equity-based awards under our equity incentive plan.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all information in this prospectus assumes no exercise of the outstanding warrants into shares of Class B common stock as described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Class B common stock involves a high degree of risk. You should carefully consider the risks described below before making an investment decision. The risks described below are not the only ones we face. Additional risks we are not presently aware of or that we currently believe are immaterial may also impair our business operations. Our business could be harmed by any of these risks. The trading price of our common stock could decline due to any of these risks, and you may lose all or part of your investment. In assessing these risks, you should also refer to the risk factors and other information contained or incorporated by reference into this prospectus and the accompanying prospectus, specifically including the risk factors contained in our Annual Report on Form 10-K/A for the year ended September 30, 2024, filed with the SEC on March 4, 2025, as updated or superseded by the risks and uncertainties described under similar headings in the other documents that are filed after the date hereof and incorporated by reference into this prospectus and the accompanying prospectus, together with all of the other information contained or incorporated by reference in this prospectus, the accompanying prospectus and the financial statements and related notes filed therewith..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we may not use the proceeds effectively.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increase our results of operations or the market value of our Class B common stock. Our failure to apply these funds effectively could have a material adverse effect on our business, delay the development of our products and cause the price of our Class B common stock to decline.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assumed offering price per share in this offering may exceed the net tangible book value per share of our Class B common stock outstanding prior to this offering. After giving effect to the sale of 180,505,415 shares of Class B common stock in this offering at an assumed offering price of $5.54 per share, the last reported sale price of our common stock on The Nasdaq Capital Market on September 22, 2025, and after deducting estimated offering commissions and offering expenses payable by us, our pro forma as adjusted net tangible book value as of June 30, 2025, would have been approximately $1,208 million, or $3.27 per share. The issuance of shares of our Class B common stock upon exercise of outstanding warrants may result in further dilution of your investment. See the section titled “Dilution” below for a more detailed illustration of the dilution you would incur if you purchase shares in this offering. Because the sales of the shares of Class B common stock offered hereby will be made directly into the market or in any other method permitted by law deemed to be an “at the market offering” as defined in Rule 415 promulgated under the Securities Act,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raise additional capital in the future, your ownership in us could be diluted.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at any time, including during this offering, offer additional shares of Class B common stock or other securities convertible into or exchangeable for our shares of Class B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including investors who purchase shares of Class B common stock in this offering. The price per share at which we sell additional shares of Class B common stock or securities convertible into shares of Class B common stock in future transactions may be higher or lower than the price per share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our operations, we anticipate financing our cash needs through a combination of equity offerings, debt financings and license agreements. To the extent that we raise additional capital through the further sale of equity securities or convertible debt securities, your ownership interest will be diluted.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shares of Class B common stock in the public market could cause our stock price to fall.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and sell additional shares of Class B common stock in the public markets, including during this offering. As a result, a substantial number of our shares of Class B common stock may be sold in the public market. Sales of a substantial number of our shares of Class B common stock in the public markets, including during this offering, or the perception that such sales could occur, could depress the market price of our shares of Class B common stock and impair our ability to raise capital through the sale of additional equity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exercise of our outstanding warrants will dilute stockholders and could decrease our stock price.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exercise of our outstanding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warrants, vesting of outstanding restricted stock units or any future issuance of additional shares of Class B common stock or other equity securities, including but not limited to options, warrants, restricted stock units or other derivative securities convertible into our Class B common stock, may result in significant dilution to our stockholders and may decrease our stock price.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B common stock offered hereby will be sold in “at-the-market” offerings,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Offering Agreement, at any one time or in total, is uncertain.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Offering Agreement and compliance with applicable law, we have the discretion to deliver a sales notice to the Designated Agent at any time throughout the term of the Offering Agreement. The number of shares that are sold by the Designated Agent after delivering a sales notice will fluctuate based on the market price of the Class B common stock during the sales period and limits we set with the Designated Agent. Because the price per share of each share sold will fluctuate based on the market price of our Class B common stock during the sales period, it is not possible at this stage to predict the number of shares that will be ultimately issued.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dividends on our shares of Class B common stock. We currently intend to retain our future earnings, if any, to fund the development and growth of our businesses and do not anticipate that we will declare or pay any cash dividends on our shares of Class B common stock in the foreseeable future. See “Dividend Policy.”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authorized shares of our Class B common stock available for issuance which may limit our ability to issue securities in connection with capital raises, including this offering, or as compensation to our employees and directors in the future, unless we obtain stockholder approval to amend our second amended and restated articles of incorporation (our “Articles of Incorporation”). Our inability to issue shares of our Class B common stock could materially impact our business and strategy.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historically utilized our shares of Class B common stock to raise capital and compensate our employees and directors. We are currently authorized to issue 100,000,000 shares of Class A common stock and 200,000,000 shares of Class B common stock. As of September 23, 2025, 39,934,846 shares of Class A common stock and 148,636,024 shares of Class B common stock are outstanding. Additionally, as of September 23, 2025, there are 3,629,547 shares of Class A common stock issuable upon exercise of outstanding warrants and 614,754 shares of Class B common stock issuable upon vesting of restricted stock units. Therefore, we may not able to offer and sell the total amount under the Offering Agreement and this prospectus, nor be able to continue issuing securities to meet our business objectives, unless we increase the number of shares we are authorized to issue. There can be no assurance that we will elect to seek stockholder approval to increase our authorized shares of common stock under our Articles of Incorporation or, if we do, that we will be able to secure the necessary stockholder approval to increase our authorized shares of common stock under our Articles of Incorporation. Our inability to issue shares of our common stock could materially impact our business and strategy.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Class B common stock having aggregate sales proceeds of up to $1,000,000,000 from time to time, before deducting sales agent commissions and expenses. The amount of proceeds from this offering will depend upon the number of shares of Class B common stock sold and the market price at which they are sold. There can be no assurance that we will be able to sell any shares under or fully utilize the Offering Agreement with the Agents.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offered under this prospectus for working capital and for general corporate purposes.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identified some potential uses of the net proceeds to be received upon completion of this offering, we cannot specify these uses with certainty. Our management will have broad discretion in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result in our being profitable or increase our market value. Pending any use, as described above, we intend to invest the net proceeds in high-quality, short-term, interest-bearing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tangible book value per share represents our total tangible assets less total liabilities, divided by the number of shares of our Class A common stock and Class B common stock outstanding. As of June 30, 2025, our net tangible book value was $98,732,612, or $0.68 per share of common stock. Net tangible book value per Class A common shares and Class B common shares are determined by dividing our net tangible book value, which consists of tangible assets less total liabilities, by the number of shares of Class A common stock and shares of Class B common stock outstanding on that date. If you purchase shares in this offering, your ownership interest will be diluted immediately to the extent of the difference between the price you pay per share of Class B common stock in this offering and the as adjusted net tangible book value per share of Class B common stock after this offering.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21,954,588 shares of Class B common stock pursuant to that certain At The Market Offering Agreement, dated as of May 16, 2025, 27,322,000 shares of Class B common stock pursuant to that certain At The Market Offering Agreement, dated as of August 28, 2025, 526,824 shares of Class B common stock pursuant to exercise of certain outstanding warrants, and the issuance of 100,000 shares of Class B common stock to employees or consultants as non-cash consideration pursuant to our Amended and Restated 2023 Stock Option Plan (collectively, the “Pro Forma Adjustments”) for net proceeds of approximately $144,122 thousand, our pro forma net tangible book value as of June 30, 2025 was approximately $238,541 thousand or $1.26 per share.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further effect to the sale of 180,505,415 shares of Class B common stock in this offering at an assumed offering price of $5.54 per share, the last reported sale price of our common stock on The Nasdaq Capital Market on September 22, 2025, and after deducting estimated offering commissions and offering expenses payable by us, our pro forma as adjusted net tangible book value as of June 30, 2025, would have been approximately $1,208,167 thousand, or $3.27 per share. This would represent an immediate increase in the net tangible book value of $2.01 per share to existing stockholders and an immediate dilution of $2.27 per share to investors purchasing our shares in this offering at the assumed public offering price. The following table illustrates this dilution on a per share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Pro Forma Adjustments</w:t>
            </w: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June 30, 2025 after the offering</w:t>
            </w:r>
          </w:p>
        </w:tc>
        <w:tc>
          <w:tcPr>
            <w:tcW w:w="1440" w:type="dxa"/>
            <w:vAlign w:val="bottom"/>
          </w:tcPr>
          <w:p>
            <w:pPr>
              <w:spacing w:after="0"/>
              <w:rPr>
                <w:sz w:val="20"/>
                <w:szCs w:val="20"/>
                <w:color w:val="auto"/>
              </w:rPr>
            </w:pP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the offering</w:t>
            </w:r>
          </w:p>
        </w:tc>
        <w:tc>
          <w:tcPr>
            <w:tcW w:w="1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180,505,415 shares of Class B common stock are sold in this offering during the term of the Offering Agreement at a price of $5.54 per share, the last reported sale price of our Class B common stock on The Nasdaq Capital Market on September 22, 2025, for aggregate gross proceeds of approximately $1 billion. The shares subject to the Offering Agreement are being sold from time to time at various prices. An increase of $0.50 per share in the price at which the shares are sold from the assumed public offering price of $5.54 per share shown in the table above, assuming all of our Class B common stock in the aggregate amount of $1 billion during the term of the Offering Agreement is sold at that price, would increase our pro forma as adjusted net tangible book value per share after the offering to $3.41 per share and would increase the dilution in net tangible book value per share to new investors in this offering to $2.63 per share, after deducting commissions and estimated aggregate offering expenses payable by us. A decrease of $0.50 per share in the price at which the shares are sold from the assumed public offering price of $5.54 per share shown in the table above, assuming all of our Class B common stock in the aggregate amount of $1 billion during the term of the Offering Agreement is sold at that price, would decrease our pro forma as adjusted net tangible book value per share after the offering to $3.12 per share and would decrease the dilution in net tangible book value per share to new investors in this offering to $1.92 per share, after deducting commissions and estimated aggregate offering expenses payable by us. This information is supplied for illustrative purposes only.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the Offering Agreement, dated as of September 23, 2025, with the Agents, under which we may issue and sell from time to time shares of Class B common stock, subject to certain limitations, through and/or to the Designated Agent as our sales agent and/or principal. Pursuant to this prospectus and the accompanying base prospectus, we may offer and sell shares of our Class B common stock having an aggregate offering price of up to $1,000,000,000. Sales of our shares of Class B common stock, if any, will be made by any method permitted by law deemed to be an “at-the-market offering” as defined in Rule 415 promulgated under the Securities Act, including sales made directly on the Nasdaq Capital Market, the trading market for our shares of Class B common stock, or any other existing trading market in the United States for our shares of Class B common stock, or sales made to or through a market maker other than on an exchange or otherwise, directly to the Designated Agent as principal, in negotiated transactions at market prices prevailing at the time of sale or at prices related to such prevailing market prices and/or in any other method permitted by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Designated Agent will offer our shares of Class B common stock at prevailing market prices subject to the terms and conditions of the Offering Agreement as agreed upon by us and the Designated Agent. We will designate the number of shares of Class B common stock which we desire to sell, the time period during which sales are requested to be made, any limitation on the number of shares that may be sold in one day and any minimum price below which sales may not be made. Subject to the terms and conditions of the Offering Agreement, the Designated Agent will use its commercially reasonable efforts consistent with the customary market practices for similar transactions and applicable law and regulations to sell on our behalf all of the shares of Class B common stock requested to be sold by us. We or the Designated Agent may suspend the offering of the shares of Class B common stock being made under the Offering Agreement upon proper notice to the other party.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Settlement for sales of shares of Class B common stock will occur on the first trading day or such other settlement cycle as may be in effect under Exchange Act from time to time, following the date on which any sales are made, or on some other date that is agreed upon by us and the Agents in connection with a particular transaction, in return for payment of the net proceeds to us. Sales of the shares of Class B common stock as contemplated in this prospectus will be settled through the facilities of The Depository Trust Company or by such other means as we and the Designated Agent may agree upon. There is no arrangement for funds to be received in an escrow, trust or similar arrangement.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pay the Designated Agent a fixed cash commission rate equal to up to 3.0% of the gross sales price of the shares of Class B common stock sold by the Designated Agent under the Offering Agreement. Because there is no minimum offering amount required as a condition to this offering, the actual total public offering amount, sales commissions and proceeds to us, if any, are not determinable at this time. Pursuant to the terms of the Offering Agreement, we agreed to reimburse Rodman for the reasonable fees and expenses of the Agents’ legal counsel incurred in connection with entering into the transactions contemplated by the Offering Agreement in an amount not to exceed $75,000. In addition, we have agreed to reimburse Rodman up to $12,500 for each time that the registration statement, prospectus or prospectus supplement relating to the shares of Class B common stock to be sold pursuant to the Offering Agreement is amended or supplemented, and up to $2,500 per due diligence update session conducted in connection with each date we file a Quarterly Report on Form 10-Q and $5,000 per due diligence update session conducted in connection with each date we file our Annual Report on Form 10-K, plus any incidental expense incurred by the Agents in connection therewith. We estimate that the total expenses for the offering payable by us, excluding commissions and other fees payable to Rodman under the terms of the Offering Agreement, will be approximately $524,600, assuming we sell the entire amount offered pursuant to this prospectus and the accompanying prospectus.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Offering Agreement also provides that Rodman shall act as our exclusive and sole sales agent for each and every at-the-market program (or facility), current or subsequent, to be established and/or used by us during the twelve (12) month period commencing on September 23,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Class B common stock sold through the Agents under the Offering Agreement, the net proceeds to us and the compensation paid by us to the Agents in connection with the sales of shares of Class B common stock under the Offering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sales of shares of Class B common stock on our behalf, each Agent will be deemed to be an “underwriter” within the meaning of the Securities Act, and the compensation paid to an Agent will be deemed to be underwriting commissions or discounts. We have agreed in the Offering Agreement to provide indemnification and contribution to the Agents against certain liabilities,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offering of the shares of Class B common stock pursuant to this prospectus will terminate upon the earlier of (i) the sale of all of the shares of Class B common stock provided for in this prospectus or (ii) termination of the Offering Agreement as permitted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the Agents will not engage in any market making activities involving the shares of Class B common stock while the offering is ongoing under this prospectus.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each Agent and its affiliates have and may provide in the future various advisory, investment and commercial banking and other services to us in the ordinary course of business, for which they have received and may continue to receive customary fees and commissions. However, except as disclosed in this prospectus, we have no present arrangements with the Agents for any further services. In addition, in the ordinary course of its various business activities, each Agent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Each Agent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Offering Agreement is only a summary, does not purport to be complete and is qualified in its entirety by reference to such, a copy of which will be attached as an exhibit to our Current Report on Form 8-K being filed with the SEC in connection with this offering.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prospectus in electronic format may be made available on a website maintained by each Agent and each Agent may distribute this prospectus electronically.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Class B common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Ellenoff Grossman &amp; Schole LLP, New York, New York and, with respect to certain matters of Nevada law, Fennemore Craig, P.C., Las Vegas, Nevada. Haynes and Boone, LLP, New York, New York is counsel for the Agents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September 30, 2024 and 2023 and for the two years then ended have been incorporated by reference into this prospectus and the registration statement of which it forms a part in reliance upon the report of Bush &amp; Associates CPA, independent registered public accounting firm and upon the report of such firm given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Securities and Exchange Commission, under the Securities Act, and does not contain all the information set forth in the registration statement. Whenever a reference is made in this prospectus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and the accompanying prospectus for a copy of such contract, agreement or other document. You may inspect a copy of the registration statement, including the exhibits and schedules, without charge, at the SEC’s public reference room mentioned below, or obtain a copy from the SEC upon payment of the fees prescribed by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All filings we file pursuant to the Exchange Act after the date of the registration statement of which this prospectus forms a part and prior to effectiveness of the Registration Statement shall be deemed to be incorporated by reference into the prospectus. We have filed or may file the following documents with the SEC and they are incorporated herein by reference as of their respective dates of filing.</w:t>
      </w:r>
    </w:p>
    <w:p>
      <w:pPr>
        <w:spacing w:after="0" w:line="192"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year ended September 30, 2024, filed with the SEC on January 14, 2025, as amended on </w:t>
        </w:r>
        <w:r>
          <w:rPr>
            <w:rFonts w:ascii="Times New Roman" w:cs="Times New Roman" w:eastAsia="Times New Roman" w:hAnsi="Times New Roman"/>
            <w:sz w:val="18"/>
            <w:szCs w:val="18"/>
            <w:u w:val="single" w:color="auto"/>
            <w:color w:val="0000EE"/>
          </w:rPr>
          <w:t>Form 10-</w:t>
        </w:r>
      </w:hyperlink>
      <w:hyperlink r:id="rId42">
        <w:r>
          <w:rPr>
            <w:rFonts w:ascii="Times New Roman" w:cs="Times New Roman" w:eastAsia="Times New Roman" w:hAnsi="Times New Roman"/>
            <w:sz w:val="18"/>
            <w:szCs w:val="18"/>
            <w:u w:val="single" w:color="auto"/>
            <w:color w:val="0000EE"/>
          </w:rPr>
          <w:t>K/A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February 7, 2025 and further amended on</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 xml:space="preserve">March 4, 2025 </w:t>
        </w:r>
      </w:hyperlink>
      <w:hyperlink r:id="rId42">
        <w:r>
          <w:rPr>
            <w:rFonts w:ascii="Times New Roman" w:cs="Times New Roman" w:eastAsia="Times New Roman" w:hAnsi="Times New Roman"/>
            <w:sz w:val="18"/>
            <w:szCs w:val="18"/>
            <w:color w:val="000000"/>
          </w:rPr>
          <w:t>(the “Form 10-K”);</w:t>
        </w:r>
      </w:hyperlink>
    </w:p>
    <w:p>
      <w:pPr>
        <w:spacing w:after="0" w:line="161"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w:t>
      </w:r>
      <w:hyperlink r:id="rId44">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February 14, 2025, May 14, 2025 and August 11, 2025, respectively;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October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May 19,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June 30,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August 25,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August 28,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August 29, 2025 </w:t>
        </w:r>
      </w:hyperlink>
      <w:hyperlink r:id="rId4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September 16, 2025</w:t>
        </w:r>
      </w:hyperlink>
      <w:hyperlink r:id="rId47">
        <w:r>
          <w:rPr>
            <w:rFonts w:ascii="Times New Roman" w:cs="Times New Roman" w:eastAsia="Times New Roman" w:hAnsi="Times New Roman"/>
            <w:sz w:val="18"/>
            <w:szCs w:val="18"/>
            <w:color w:val="000000"/>
          </w:rPr>
          <w:t>, respectively; and</w:t>
        </w:r>
      </w:hyperlink>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B Common Stock contained in </w:t>
      </w:r>
      <w:hyperlink r:id="rId54">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10-K.</w:t>
      </w:r>
    </w:p>
    <w:p>
      <w:pPr>
        <w:spacing w:after="0" w:line="225"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Richtech Robotics Inc., at 2975 Lincoln Rd, Las Vegas, NV 89115. Our telephone number is (866) 236-3835. Information about us is also available at our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However, the information in our website is not a part of this prospectus and is not incorporated by reference.</w:t>
      </w:r>
    </w:p>
    <w:p>
      <w:pPr>
        <w:spacing w:after="0" w:line="180" w:lineRule="exact"/>
        <w:rPr>
          <w:rFonts w:ascii="Times New Roman" w:cs="Times New Roman" w:eastAsia="Times New Roman" w:hAnsi="Times New Roman"/>
          <w:sz w:val="18"/>
          <w:szCs w:val="18"/>
          <w:color w:val="0000EE"/>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about us contained in this prospectus should be read together with the information in the documents incorporated by reference. Descriptions contained in the incorporated documents as to the contents of any contract or other document may not contain all of the information which is of interest to you. You should refer to the copy of such contract or other document filed as an exhibit to our filings.</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$1,000,000,000 of Class B Common Stock</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Lead 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722630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paying all expenses of the offering. The following table sets forth all expenses to be paid by the registrant. All amounts shown are estimates except for the registration fee.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 registration fee </w:t>
            </w:r>
            <w:r>
              <w:rPr>
                <w:rFonts w:ascii="Times New Roman" w:cs="Times New Roman" w:eastAsia="Times New Roman" w:hAnsi="Times New Roman"/>
                <w:sz w:val="29"/>
                <w:szCs w:val="29"/>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524,600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we are deferring payment of the SEC registration fee for the securities offered under this registration statement other than the SEC registration fee of $153,100.00 due in connection with the $1,000,000,000 of shares of our Class B common stock that may be issued and sold from time to time under the ATM Agreement.</w:t>
      </w:r>
    </w:p>
    <w:p>
      <w:pPr>
        <w:spacing w:after="0" w:line="176" w:lineRule="exact"/>
        <w:rPr>
          <w:sz w:val="20"/>
          <w:szCs w:val="20"/>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 The applicable prospectus supplement will set forth the estimated amount of expenses of any offering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charter and bylaws limit the directors’ liability and may indemnify directors and officers to the fullest extent permitted under the NRS 78.7502-NRS 78.751.</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Nevada law, NRS 78.138, provides that the Company’s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or with respect to payment of dividends in violation of the NRS. While Nevada law allows the articles of incorporation of a corporation to provide for greater liability of the corporation’s directors and officers, our second amended and restated articles of incorporation does not provide for greater liability of our officers and directors than is provided under Nevada law.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permitted by Nevada law or our charter, our bylaws (a) include provisions that eliminate the personal liability of our directors or officers for damages resulting from certain breaches of fiduciary duties as a director or officer; (b) require the Company to indemnify and hold harmless any officer or director against all expense, liability and loss (including, without limitation, attorneys’ fees, judgments, fines, taxes, penalties, and amounts paid or to be paid in settlement) reasonably incurred or suffered by the indemnitee in connection with any threatened, pending, or completed action, suit or proceeding (including, without limitation, an action, suit or proceeding by or in the right of the company), whether civil, criminal, administrative, or investigative; and</w:t>
      </w:r>
    </w:p>
    <w:p>
      <w:pPr>
        <w:spacing w:after="0" w:line="3" w:lineRule="exact"/>
        <w:rPr>
          <w:sz w:val="20"/>
          <w:szCs w:val="20"/>
          <w:color w:val="auto"/>
        </w:rPr>
      </w:pPr>
    </w:p>
    <w:p>
      <w:pPr>
        <w:ind w:firstLine="8"/>
        <w:spacing w:after="0" w:line="260"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advance expenses of the indemnitee as such expenses are incurred upon receipt of an undertaking by or on behalf of the indemnitee to repay the amount if it is ultimately determined by a court of competent jurisdiction that he or she is not entitled to be indemnified by the Company.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these provisions is to restrict our rights and the rights of our stockholders in derivative suits to recover damages against a director or officer for breach of fiduciary duties as a director or officer. In addition, the Company pays the costs of settlement and damage awards against directors and officers pursuant to these indemnification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obtained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agreements included or incorporated by reference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9"/>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Certificate of Designation of Preferred Stock**</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Stock Purchase Contract**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Warrant Agreement and Form of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Subscription Rights Agreement and Form Subscription Rights Certificate**</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At the Market Offering Agreement, dated September 23, 2025, by and among the Company, Rodman &amp; Renshaw LLC and H.C.</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Wainwright &amp; Co.,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Bush &amp; Associates CPA, Independent Registered Public Accounting Firm*</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(included in Exhibit 5.1)*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Part II of this Registration Statement)*</w:t>
            </w:r>
          </w:p>
        </w:tc>
      </w:tr>
      <w:tr>
        <w:trPr>
          <w:trHeight w:val="218"/>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CEEFF"/>
            </w:tcBorders>
          </w:tcPr>
          <w:p>
            <w:pPr>
              <w:spacing w:after="0"/>
              <w:rPr>
                <w:sz w:val="18"/>
                <w:szCs w:val="18"/>
                <w:color w:val="auto"/>
              </w:rPr>
            </w:pPr>
          </w:p>
        </w:tc>
        <w:tc>
          <w:tcPr>
            <w:tcW w:w="50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w:t>
            </w:r>
          </w:p>
        </w:tc>
        <w:tc>
          <w:tcPr>
            <w:tcW w:w="5020" w:type="dxa"/>
            <w:vAlign w:val="bottom"/>
            <w:tcBorders>
              <w:top w:val="single" w:sz="8" w:color="CCEEFF"/>
            </w:tcBorders>
            <w:gridSpan w:val="3"/>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7760" w:firstLine="8"/>
        <w:spacing w:after="0" w:line="489" w:lineRule="auto"/>
        <w:tabs>
          <w:tab w:leader="none" w:pos="11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Calculation of Filing Fee Table* </w:t>
      </w:r>
      <w:r>
        <w:rPr>
          <w:rFonts w:ascii="Times New Roman" w:cs="Times New Roman" w:eastAsia="Times New Roman" w:hAnsi="Times New Roman"/>
          <w:sz w:val="18"/>
          <w:szCs w:val="18"/>
          <w:color w:val="000000"/>
        </w:rPr>
        <w:t>* Filed herewith.</w:t>
      </w:r>
    </w:p>
    <w:p>
      <w:pPr>
        <w:spacing w:after="0" w:line="1" w:lineRule="exact"/>
        <w:rPr>
          <w:sz w:val="20"/>
          <w:szCs w:val="20"/>
          <w:color w:val="auto"/>
        </w:rPr>
      </w:pPr>
    </w:p>
    <w:p>
      <w:pPr>
        <w:ind w:left="200" w:hanging="188"/>
        <w:spacing w:after="0" w:line="282" w:lineRule="auto"/>
        <w:rPr>
          <w:sz w:val="20"/>
          <w:szCs w:val="20"/>
          <w:color w:val="auto"/>
        </w:rPr>
      </w:pPr>
      <w:r>
        <w:rPr>
          <w:rFonts w:ascii="Times New Roman" w:cs="Times New Roman" w:eastAsia="Times New Roman" w:hAnsi="Times New Roman"/>
          <w:sz w:val="18"/>
          <w:szCs w:val="18"/>
          <w:color w:val="auto"/>
        </w:rPr>
        <w:t>**If applicable, to be filed by an amendment or as an exhibit to a report pursuant to section 13(a) or section 15(d) of the Exchange Act and incorporated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pursuant to Rule 305(b)(2) of the Trust Indenture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62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656"/>
        <w:spacing w:after="0" w:line="266" w:lineRule="auto"/>
        <w:tabs>
          <w:tab w:leader="none" w:pos="9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56"/>
        <w:spacing w:after="0" w:line="258" w:lineRule="auto"/>
        <w:tabs>
          <w:tab w:leader="none" w:pos="9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3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in accordance with the rules and regulations prescribed by the SEC under Section 305(b)(2) of the Trust Indenture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Santa Clara, State of California, on this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September, 2025.</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Zhenwu Huang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9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21"/>
                <w:szCs w:val="21"/>
                <w:color w:val="auto"/>
              </w:rPr>
            </w:pPr>
          </w:p>
        </w:tc>
        <w:tc>
          <w:tcPr>
            <w:tcW w:w="30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5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Zhenwu Huang</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23,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20" w:type="dxa"/>
            <w:vAlign w:val="bottom"/>
          </w:tcPr>
          <w:p>
            <w:pPr>
              <w:spacing w:after="0"/>
              <w:rPr>
                <w:sz w:val="20"/>
                <w:szCs w:val="20"/>
                <w:color w:val="auto"/>
              </w:rPr>
            </w:pPr>
          </w:p>
        </w:tc>
      </w:tr>
      <w:tr>
        <w:trPr>
          <w:trHeight w:val="34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Zhenqiang Huang</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23,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020" w:type="dxa"/>
            <w:vAlign w:val="bottom"/>
          </w:tcPr>
          <w:p>
            <w:pPr>
              <w:spacing w:after="0"/>
              <w:rPr>
                <w:sz w:val="20"/>
                <w:szCs w:val="20"/>
                <w:color w:val="auto"/>
              </w:rPr>
            </w:pPr>
          </w:p>
        </w:tc>
      </w:tr>
      <w:tr>
        <w:trPr>
          <w:trHeight w:val="34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Shigley</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23,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4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Markscheid</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23,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4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Factor</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23,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63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ind w:left="2320"/>
              <w:spacing w:after="0"/>
              <w:rPr>
                <w:sz w:val="20"/>
                <w:szCs w:val="20"/>
                <w:color w:val="auto"/>
              </w:rPr>
            </w:pPr>
            <w:r>
              <w:rPr>
                <w:rFonts w:ascii="Times New Roman" w:cs="Times New Roman" w:eastAsia="Times New Roman" w:hAnsi="Times New Roman"/>
                <w:sz w:val="18"/>
                <w:szCs w:val="18"/>
                <w:color w:val="auto"/>
              </w:rPr>
              <w:t>II-5</w:t>
            </w: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RICHTECH ROBOTICS INC., as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ISSUER</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ind w:left="4760" w:hanging="818"/>
        <w:spacing w:after="0"/>
        <w:tabs>
          <w:tab w:leader="none" w:pos="4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w:t>
      </w:r>
    </w:p>
    <w:p>
      <w:pPr>
        <w:spacing w:after="0" w:line="9" w:lineRule="exact"/>
        <w:rPr>
          <w:rFonts w:ascii="Times New Roman" w:cs="Times New Roman" w:eastAsia="Times New Roman" w:hAnsi="Times New Roman"/>
          <w:sz w:val="18"/>
          <w:szCs w:val="18"/>
          <w:color w:val="auto"/>
        </w:rPr>
      </w:pPr>
    </w:p>
    <w:p>
      <w:pPr>
        <w:ind w:left="3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TRUSTEE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ind w:left="3660"/>
        <w:spacing w:after="0"/>
        <w:tabs>
          <w:tab w:leader="none" w:pos="5280" w:val="left"/>
        </w:tabs>
        <w:rPr>
          <w:sz w:val="20"/>
          <w:szCs w:val="20"/>
          <w:color w:val="auto"/>
        </w:rPr>
      </w:pPr>
      <w:r>
        <w:rPr>
          <w:rFonts w:ascii="Times New Roman" w:cs="Times New Roman" w:eastAsia="Times New Roman" w:hAnsi="Times New Roman"/>
          <w:sz w:val="18"/>
          <w:szCs w:val="18"/>
          <w:color w:val="auto"/>
        </w:rPr>
        <w:t>Dated as of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7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TABLE OF CONTENTS</w:t>
            </w:r>
          </w:p>
        </w:tc>
        <w:tc>
          <w:tcPr>
            <w:tcW w:w="1000" w:type="dxa"/>
            <w:vAlign w:val="bottom"/>
          </w:tcPr>
          <w:p>
            <w:pPr>
              <w:spacing w:after="0"/>
              <w:rPr>
                <w:sz w:val="20"/>
                <w:szCs w:val="20"/>
                <w:color w:val="auto"/>
              </w:rPr>
            </w:pPr>
          </w:p>
        </w:tc>
      </w:tr>
      <w:tr>
        <w:trPr>
          <w:trHeight w:val="453"/>
        </w:trPr>
        <w:tc>
          <w:tcPr>
            <w:tcW w:w="1460" w:type="dxa"/>
            <w:vAlign w:val="bottom"/>
            <w:tcBorders>
              <w:bottom w:val="single" w:sz="8" w:color="CCEEFF"/>
            </w:tcBorders>
          </w:tcPr>
          <w:p>
            <w:pPr>
              <w:spacing w:after="0"/>
              <w:rPr>
                <w:sz w:val="24"/>
                <w:szCs w:val="24"/>
                <w:color w:val="auto"/>
              </w:rPr>
            </w:pPr>
          </w:p>
        </w:tc>
        <w:tc>
          <w:tcPr>
            <w:tcW w:w="87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 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1.03</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Incorporation by Reference of Trust Indenture Act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1.04</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Rules of Construction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Issuable in Series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Establishment of Terms of Series of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Execution and Authentication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Paying Agent to Hold Money in Trust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Holder Lists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2.07</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Transfer and Exchange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2.08</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Mutilated, Destroyed, Lost and Stolen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2.09</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Outstanding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Treasury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Temporary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Cancellation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2.13</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Defaulted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2.14</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Global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2.15</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CUSIP Numbers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to Trustee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Selection of Securities to be Redeemed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Redemption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3.04</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Effect of Notice of Redemption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3.05</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Deposit of Redemption Price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3.06</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Securities Redeemed in Part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Payment of Principal and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 Reports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Compliance Certificate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4.04</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Stay, Extension and Usury Laws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When Company May Merge, Etc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Successor Corporation Substituted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Acceleration of Maturity; Rescission and Annulment</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Collection of Indebtedness and Suits for Enforcement by Trustee</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Trustee May File Proofs of Claim</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Trustee May Enforce Claims Without Possession of Securities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Application of Money Collected</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Limitation on Suits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Unconditional Right of Holders to Receive Principal and Interest</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6.09</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Restoration of Rights and Remedies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Rights and Remedies Cumulative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Delay or Omission Not Waiver</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Control by Holders</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Waiver of Past Defaults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6.14</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Undertaking for Costs</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20" w:type="dxa"/>
            <w:vAlign w:val="bottom"/>
            <w:gridSpan w:val="2"/>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Duties of Trustee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Rights of Trustee</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Individual Rights of Trustee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Trustee’s Disclaimer</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Defaults</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7.06</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Reports by Trustee to Holders</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7.07</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Compensation and Indemnity</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7.08</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Replacement of Trustee</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7.09</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Successor Trustee by Merger, etc</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7.10</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Eligibility; Disqualification</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7.11</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Preferential Collection of Claims Against Company</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20" w:type="dxa"/>
            <w:vAlign w:val="bottom"/>
            <w:gridSpan w:val="2"/>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Satisfaction and Discharge of Indenture</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Application of Trust Funds; Indemnification</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Legal Defeasance of Securities of any Series</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Covenant Defeasance</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Repayment to Company</w:t>
            </w:r>
          </w:p>
        </w:tc>
        <w:tc>
          <w:tcPr>
            <w:tcW w:w="2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Reinstatement</w:t>
            </w:r>
          </w:p>
        </w:tc>
        <w:tc>
          <w:tcPr>
            <w:tcW w:w="2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Without Consent of Holders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With Consent of Holders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Limitations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Compliance with Trust Indenture Act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9.05</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Revocation and Effect of Consents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9.06</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Notation on or Exchange of Securities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9.07</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Trustee Protected</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2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Trust Indenture Act Controls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Communication by Holders with Other Holders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Certificate and Opinion as to Conditions Precedent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Statements Required in Certificate or Opinion</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Rules by Trustee and Agents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10.07</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Legal Holidays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10.08</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 Recourse Against Others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10.09</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Governing Laws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No Adverse Interpretation of Other Agreements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Successors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 Headings, Etc</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Securities in a Foreign Currency</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10.16</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U.S.A. Patriot Act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10.17</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2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11.01</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Applicability of Article</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11.02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Satisfaction of Sinking Fund Payments with Securities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11.03</w:t>
            </w:r>
          </w:p>
        </w:tc>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Redemption of Securities for Sinking Fund</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3" w:name="page54"/>
    <w:bookmarkEnd w:id="5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and tie between Trust Indenture Act of 1939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Indenture, dated as of</w:t>
            </w:r>
          </w:p>
        </w:tc>
        <w:tc>
          <w:tcPr>
            <w:tcW w:w="4700" w:type="dxa"/>
            <w:vAlign w:val="bottom"/>
          </w:tcPr>
          <w:p>
            <w:pPr>
              <w:jc w:val="right"/>
              <w:ind w:right="4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9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310 (a)(1)</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311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312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313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(b)(1)</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314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4.02, 10.05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644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315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316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317 (a)(1)</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318 (a)</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54" w:name="page55"/>
    <w:bookmarkEnd w:id="54"/>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,dated as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between Richtech Robotics Inc., a Nevada corporation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as trustee</w:t>
      </w:r>
    </w:p>
    <w:p>
      <w:pPr>
        <w:spacing w:after="0" w:line="27" w:lineRule="exact"/>
        <w:rPr>
          <w:sz w:val="20"/>
          <w:szCs w:val="20"/>
          <w:color w:val="auto"/>
        </w:rPr>
      </w:pPr>
    </w:p>
    <w:p>
      <w:pPr>
        <w:sectPr>
          <w:pgSz w:w="11900" w:h="16838" w:orient="portrait"/>
          <w:cols w:equalWidth="0" w:num="3">
            <w:col w:w="2720" w:space="640"/>
            <w:col w:w="6300" w:space="720"/>
            <w:col w:w="86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0" w:right="339" w:bottom="1440" w:gutter="0" w:footer="0" w:header="0"/>
          <w:type w:val="continuous"/>
        </w:sectPr>
      </w:pPr>
    </w:p>
    <w:p>
      <w:pPr>
        <w:spacing w:after="0" w:line="2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 as calculated by the Company.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or Paying Agent.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Saturday, Sunday or other day on which banking institutions are authorized or required by law, regulation or executive order to close or be closed in the State of New York.</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5" w:name="page56"/>
    <w:bookmarkEnd w:id="5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request signed in the name of the Company by its Chief Executive Officer or Chief Financial Officer and delivered to the Trustee.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address of the Trustee specified in Section 10.02, or such other address as to which the Trustee may give notice to the Holders and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 a New York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firstLine="8"/>
        <w:spacing w:after="0" w:line="255" w:lineRule="auto"/>
        <w:tabs>
          <w:tab w:leader="none" w:pos="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Chief Financial Officer, any Vice-President, the Treasurer, the Secretary, any Assistant Treasurer or any Assistant Secretary of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 means a certificate signed by two Officers, one of whom must be the Company’s principal executive officer, principal financial officer or principal accounting officer.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reasonably acceptable to the Trustee. The counsel may be an employee of or counsel to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2.01 and 2.02 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1.02 Other Definitions.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Bankruptcy Law</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Custodian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Legal Holiday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mandatory sinking fund payment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Exchange Rate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optional sinking fund payment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Successor Person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Incorporation by Reference of Trust Indenture Act.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Rules of Construction.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2.01 Issuable in Series. </w:t>
      </w:r>
      <w:r>
        <w:rPr>
          <w:rFonts w:ascii="Times New Roman" w:cs="Times New Roman" w:eastAsia="Times New Roman" w:hAnsi="Times New Roman"/>
          <w:sz w:val="18"/>
          <w:szCs w:val="18"/>
          <w:color w:val="auto"/>
        </w:rPr>
        <w:t>The aggregate principal amount of Securities that may be authenticated and delivered under this Indenture is unlimited.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Establishment of Terms of Series of Securities. </w:t>
      </w:r>
      <w:r>
        <w:rPr>
          <w:rFonts w:ascii="Times New Roman" w:cs="Times New Roman" w:eastAsia="Times New Roman" w:hAnsi="Times New Roman"/>
          <w:sz w:val="18"/>
          <w:szCs w:val="18"/>
          <w:color w:val="auto"/>
        </w:rPr>
        <w:t>At or prior to the issuance of any Securities within a Series, the following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80" w:lineRule="exact"/>
        <w:rPr>
          <w:sz w:val="20"/>
          <w:szCs w:val="20"/>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Series (which shall distinguish the Securities of that particular Series from the Securities of any other Series);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2.07, 2.08, 2.11, 3.06 or 9.06);</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and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Securities of the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right="20" w:firstLine="656"/>
        <w:spacing w:after="0" w:line="282"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Articles IV or V which applies to Securities of the Series;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will be senior debt securities or subordinated debt securities and, if applicable, a description of the subordination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Securities of such Series if other than those appointed herein;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modify or delete any provision of this Indenture insofar as it applies to such Series).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2.03 Execution and Authentication. </w:t>
      </w:r>
      <w:r>
        <w:rPr>
          <w:rFonts w:ascii="Times New Roman" w:cs="Times New Roman" w:eastAsia="Times New Roman" w:hAnsi="Times New Roman"/>
          <w:sz w:val="18"/>
          <w:szCs w:val="18"/>
          <w:color w:val="auto"/>
        </w:rPr>
        <w:t>At least one Officer shall sign the Securities for the Company by manual or facsimile signature. If an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electronic instructions in PDF from the Company or its duly authorized agent or agents.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(c)(1) an Opinion of Counsel complying with Section 10.04 or (2) an Opinion of Counsel (or reliance letter with respect to an Opinion of Counsel) that the Securities have been duly authorized, executed and delivered by the Company and such Securities will constitute valid and binding obligations of the Company, enforceable against the Company in accordance with its terms.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2.04 Registrar and Paying Agent. </w:t>
      </w:r>
      <w:r>
        <w:rPr>
          <w:rFonts w:ascii="Times New Roman" w:cs="Times New Roman" w:eastAsia="Times New Roman" w:hAnsi="Times New Roman"/>
          <w:sz w:val="18"/>
          <w:szCs w:val="18"/>
          <w:color w:val="auto"/>
        </w:rPr>
        <w:t>The Company shall maintain, with respect to each Series of Securities, at the place or places specified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such Series pursuant to Section 2.02,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and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The Registrar shall keep a register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each Series of Securities and of their transfer and exchange. The Company hereby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and a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 The Company hereby appoints the Trustee as the initial Registrar and Paying Agent for each Series unless another Registrar or Paying Agent, as the case may be, is appointed prior to the time Securities of that Series are first issued.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2.05 Paying Agent to Hold Money in Trust. </w:t>
      </w:r>
      <w:r>
        <w:rPr>
          <w:rFonts w:ascii="Times New Roman" w:cs="Times New Roman" w:eastAsia="Times New Roman" w:hAnsi="Times New Roman"/>
          <w:sz w:val="18"/>
          <w:szCs w:val="18"/>
          <w:color w:val="auto"/>
        </w:rPr>
        <w:t>The Company shall require each Paying Agent other than the Trustee to agree in writing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 Event of Default under Section 6.01(d) or (e), the Trustee shall be the Paying Agent.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2.06 Holder Lists. </w:t>
      </w: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2.07 Transfer and Exchange. </w:t>
      </w:r>
      <w:r>
        <w:rPr>
          <w:rFonts w:ascii="Times New Roman" w:cs="Times New Roman" w:eastAsia="Times New Roman" w:hAnsi="Times New Roman"/>
          <w:sz w:val="18"/>
          <w:szCs w:val="18"/>
          <w:color w:val="auto"/>
        </w:rPr>
        <w:t>Where Securities of a Series are presented to the Registrar or a co-registrar with a request to register a transfer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Section 2.08 Mutilated, Destroyed, Lost and Stolen Securities.</w:t>
      </w:r>
    </w:p>
    <w:p>
      <w:pPr>
        <w:spacing w:after="0" w:line="229" w:lineRule="exact"/>
        <w:rPr>
          <w:sz w:val="20"/>
          <w:szCs w:val="20"/>
          <w:color w:val="auto"/>
        </w:rPr>
      </w:pPr>
    </w:p>
    <w:p>
      <w:pPr>
        <w:jc w:val="both"/>
        <w:ind w:firstLine="656"/>
        <w:spacing w:after="0" w:line="257" w:lineRule="auto"/>
        <w:tabs>
          <w:tab w:leader="none" w:pos="9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due and payable, the Company in its discretion may, instead of issuing a new Security, pay such Security.</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2.09 Outstanding Securities. </w:t>
      </w:r>
      <w:r>
        <w:rPr>
          <w:rFonts w:ascii="Times New Roman" w:cs="Times New Roman" w:eastAsia="Times New Roman" w:hAnsi="Times New Roman"/>
          <w:sz w:val="18"/>
          <w:szCs w:val="18"/>
          <w:color w:val="auto"/>
        </w:rPr>
        <w:t>The Securities outstanding at any time are all the Securities authenticated by the Trustee except for those canceled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2.10 Treasury Securities. </w:t>
      </w:r>
      <w:r>
        <w:rPr>
          <w:rFonts w:ascii="Times New Roman" w:cs="Times New Roman" w:eastAsia="Times New Roman" w:hAnsi="Times New Roman"/>
          <w:sz w:val="18"/>
          <w:szCs w:val="18"/>
          <w:color w:val="auto"/>
        </w:rPr>
        <w:t>In determining whether the Holders of the required principal amount of Securities of a Series have concurred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2.11 Temporary Securities. </w:t>
      </w:r>
      <w:r>
        <w:rPr>
          <w:rFonts w:ascii="Times New Roman" w:cs="Times New Roman" w:eastAsia="Times New Roman" w:hAnsi="Times New Roman"/>
          <w:sz w:val="18"/>
          <w:szCs w:val="18"/>
          <w:color w:val="auto"/>
        </w:rPr>
        <w:t>Until definitive Securities are ready for delivery, the Company may prepare and the Trustee shall authenticate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2.12 Cancellation. </w:t>
      </w:r>
      <w:r>
        <w:rPr>
          <w:rFonts w:ascii="Times New Roman" w:cs="Times New Roman" w:eastAsia="Times New Roman" w:hAnsi="Times New Roman"/>
          <w:sz w:val="18"/>
          <w:szCs w:val="18"/>
          <w:color w:val="auto"/>
        </w:rPr>
        <w:t>The Company at any time may deliver Securities to the Trustee for cancellation. The Registrar and the Paying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to the Trustee any Securities surrendered to them for registration of transfer, exchange or payment. The Trustee shall cancel all Securities surrendered for registration of transfer, exchange, payment, replacement or cancellation in accordance with its customary procedures. The Company may not issue new Securities to replace Securities that it has paid or delivered to the Trustee for cancellation.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2.13 Defaulted Interest. </w:t>
      </w:r>
      <w:r>
        <w:rPr>
          <w:rFonts w:ascii="Times New Roman" w:cs="Times New Roman" w:eastAsia="Times New Roman" w:hAnsi="Times New Roman"/>
          <w:sz w:val="18"/>
          <w:szCs w:val="18"/>
          <w:color w:val="auto"/>
        </w:rPr>
        <w:t>If the Company defaults in a payment of interest on a Series of Securities, it shall pay the defaulted interest at the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for the particular Series, if any, plus, to the extent permitted by law, any interest payable on the defaulted interest, to the persons who are Holders of the Series on a subsequent special record date. The Company shall fix the special record date and payment date; provided that if no rate for defaulted interest is specified for any Series of Securities, then the defaulted interest rate shall be the interest rate specified for such Series of Securities. At least ten (10) days before the special record date, the Company shall deliver to the Trustee and to each Holder of the Series a notice that states the record date, the related payment date and the amount of interest to be paid. The Company may also pay defaulted interest in any other lawful manner.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Global Securities</w:t>
      </w:r>
    </w:p>
    <w:p>
      <w:pPr>
        <w:spacing w:after="0" w:line="229" w:lineRule="exact"/>
        <w:rPr>
          <w:sz w:val="20"/>
          <w:szCs w:val="20"/>
          <w:color w:val="auto"/>
        </w:rPr>
      </w:pPr>
    </w:p>
    <w:p>
      <w:pPr>
        <w:ind w:firstLine="656"/>
        <w:spacing w:after="0" w:line="282"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56"/>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2.14(c),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Legend. Any Global Security issued hereunder shall bear a legend in substantially the following form:</w:t>
      </w:r>
    </w:p>
    <w:p>
      <w:pPr>
        <w:spacing w:after="0" w:line="221"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3" w:lineRule="exact"/>
        <w:rPr>
          <w:sz w:val="20"/>
          <w:szCs w:val="20"/>
          <w:color w:val="auto"/>
        </w:rPr>
      </w:pPr>
    </w:p>
    <w:p>
      <w:pPr>
        <w:ind w:firstLine="656"/>
        <w:spacing w:after="0" w:line="282" w:lineRule="auto"/>
        <w:tabs>
          <w:tab w:leader="none" w:pos="8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Notwithstanding any other provision of this Indenture or any Security, where this Indenture or any Global Security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2.15 CUSIP Numbers. </w:t>
      </w:r>
      <w:r>
        <w:rPr>
          <w:rFonts w:ascii="Times New Roman" w:cs="Times New Roman" w:eastAsia="Times New Roman" w:hAnsi="Times New Roman"/>
          <w:sz w:val="18"/>
          <w:szCs w:val="18"/>
          <w:color w:val="auto"/>
        </w:rPr>
        <w:t>The Company in issuing the Securities may use “CUSIP” numbers (if then generally in use), and, if so, the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3.01 Notice to Trustee. </w:t>
      </w:r>
      <w:r>
        <w:rPr>
          <w:rFonts w:ascii="Times New Roman" w:cs="Times New Roman" w:eastAsia="Times New Roman" w:hAnsi="Times New Roman"/>
          <w:sz w:val="18"/>
          <w:szCs w:val="18"/>
          <w:color w:val="auto"/>
        </w:rPr>
        <w:t>The Company may, with respect to any Series of Securities, reserve the right to redeem and pay the Series of Securities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the Series of Securities to be redeemed.</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3.02 Selection of Securities to be Redeemed. </w:t>
      </w:r>
      <w:r>
        <w:rPr>
          <w:rFonts w:ascii="Times New Roman" w:cs="Times New Roman" w:eastAsia="Times New Roman" w:hAnsi="Times New Roman"/>
          <w:sz w:val="18"/>
          <w:szCs w:val="18"/>
          <w:color w:val="auto"/>
        </w:rPr>
        <w:t>Unless otherwise indicated for a particular Series by a Board Resolution, a supplemental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Securities of a Series and portions selected for redemption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The Trustee shall not be liable for the selection made in accordance with this Section 3.02.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Notice of Redemption.</w:t>
      </w:r>
    </w:p>
    <w:p>
      <w:pPr>
        <w:spacing w:after="0" w:line="229" w:lineRule="exact"/>
        <w:rPr>
          <w:sz w:val="20"/>
          <w:szCs w:val="20"/>
          <w:color w:val="auto"/>
        </w:rPr>
      </w:pPr>
    </w:p>
    <w:p>
      <w:pPr>
        <w:jc w:val="both"/>
        <w:ind w:firstLine="656"/>
        <w:spacing w:after="0" w:line="266" w:lineRule="auto"/>
        <w:tabs>
          <w:tab w:leader="none" w:pos="8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for a particular Series by a Board Resolution, a supplemental indenture or an Officers’ Certificate, at least 30 days but not more than 60 days before a redemption date, the Company shall deliver notice of redemption to each Holder whose Securities are to be redeemed. The notice shall identify the Securities of the Series to be redeemed and shall state: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manner of the calculation of the redemption price;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that the Company shall have delivered to the Trustee, at least five Business Days (or such shorter period as the Trustee may consent to in writing) before notice of redemption is required to be delivered or caused to be delivered to Holders pursuant to this Section 3.03, an Officers’ Certificate of the Company requesting that the Trustee give such notice and setting forth the information to be stated in such notice as provided in the preceding paragraph.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3.04 Effect of Notice of Redemption. </w:t>
      </w:r>
      <w:r>
        <w:rPr>
          <w:rFonts w:ascii="Times New Roman" w:cs="Times New Roman" w:eastAsia="Times New Roman" w:hAnsi="Times New Roman"/>
          <w:sz w:val="18"/>
          <w:szCs w:val="18"/>
          <w:color w:val="auto"/>
        </w:rPr>
        <w:t>Once notice of redemption is delivered as provided in Section 3.03, Securities of a Series called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3.05 Deposit of Redemption Price. </w:t>
      </w:r>
      <w:r>
        <w:rPr>
          <w:rFonts w:ascii="Times New Roman" w:cs="Times New Roman" w:eastAsia="Times New Roman" w:hAnsi="Times New Roman"/>
          <w:sz w:val="18"/>
          <w:szCs w:val="18"/>
          <w:color w:val="auto"/>
        </w:rPr>
        <w:t>Unless otherwise indicated for a particular Series by a Board Resolution, a supplemental indenture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Certificate, on or before 11:00 a.m., New York City time, on the redemption date, the Company shall deposit with the Paying Agent money sufficient to pay the redemption price of and accrued interest, if any, on all Securities to be redeemed on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3.06 Securities Redeemed in Part. </w:t>
      </w:r>
      <w:r>
        <w:rPr>
          <w:rFonts w:ascii="Times New Roman" w:cs="Times New Roman" w:eastAsia="Times New Roman" w:hAnsi="Times New Roman"/>
          <w:sz w:val="18"/>
          <w:szCs w:val="18"/>
          <w:color w:val="auto"/>
        </w:rPr>
        <w:t>Upon surrender of a Security that is redeemed in part, the Company shall issue and the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authenticate for the Holder a new Security of the same Series and the same maturity equal in principal amount to the unredeemed portion of the Security surrendered.</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Payment of Principal and Interest. </w:t>
      </w:r>
      <w:r>
        <w:rPr>
          <w:rFonts w:ascii="Times New Roman" w:cs="Times New Roman" w:eastAsia="Times New Roman" w:hAnsi="Times New Roman"/>
          <w:sz w:val="18"/>
          <w:szCs w:val="18"/>
          <w:color w:val="auto"/>
        </w:rPr>
        <w:t>The Company covenants and agrees for the benefit of the Holders of each Series of Securities that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and punctually pay the principal of and interest, if any, on the Securities of that Series in accordance with the terms of such Securities and this Indenture.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4.02 SEC Reports. </w:t>
      </w:r>
      <w:r>
        <w:rPr>
          <w:rFonts w:ascii="Times New Roman" w:cs="Times New Roman" w:eastAsia="Times New Roman" w:hAnsi="Times New Roman"/>
          <w:sz w:val="18"/>
          <w:szCs w:val="18"/>
          <w:color w:val="auto"/>
        </w:rPr>
        <w:t>Any information, documents or other reports that the Company shall file with the Commission pursuant to Section 13 or 15(d)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Exchange Act shall be filed with the Trustee within 15 days after the same is filed with the Commission; provided that any such information, documents or reports filed or furnished with the Commission pursuant to its Electronic Data Gathering, Analysis and Retrieval (or EDGAR) system shall be deemed filed with the Trustee as of the time such information, documents or reports are filed or furnished via EDGAR.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4.03 Compliance Certificate. </w:t>
      </w:r>
      <w:r>
        <w:rPr>
          <w:rFonts w:ascii="Times New Roman" w:cs="Times New Roman" w:eastAsia="Times New Roman" w:hAnsi="Times New Roman"/>
          <w:sz w:val="18"/>
          <w:szCs w:val="18"/>
          <w:color w:val="auto"/>
        </w:rPr>
        <w:t>The Company shall, so long as any of the Securities are outstanding, deliver to the Trustee, within 120 days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4.04 Stay, Extension and Usury Laws. </w:t>
      </w:r>
      <w:r>
        <w:rPr>
          <w:rFonts w:ascii="Times New Roman" w:cs="Times New Roman" w:eastAsia="Times New Roman" w:hAnsi="Times New Roman"/>
          <w:sz w:val="18"/>
          <w:szCs w:val="18"/>
          <w:color w:val="auto"/>
        </w:rPr>
        <w:t>The Company covenants (to the extent that it may lawfully do so) that it will not at any time insist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enacted, now or at any time hereafter in force, which may affect the covenants or the performance of this Indenture or the Securities or any other law that would prohibit or forgive the Company from paying all or any portion of the principal of, or interest on, the Securities as contemplated in the Indenture, any indenture supplemental thereto relating to the Securities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When Company May Merge, Etc. </w:t>
      </w:r>
      <w:r>
        <w:rPr>
          <w:rFonts w:ascii="Times New Roman" w:cs="Times New Roman" w:eastAsia="Times New Roman" w:hAnsi="Times New Roman"/>
          <w:sz w:val="18"/>
          <w:szCs w:val="18"/>
          <w:color w:val="auto"/>
        </w:rPr>
        <w:t>The Company shall not consolidate with or merge with or into, or convey, transfer or lease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its properties and assets to, another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59" w:lineRule="exact"/>
        <w:rPr>
          <w:sz w:val="20"/>
          <w:szCs w:val="20"/>
          <w:color w:val="auto"/>
        </w:rPr>
      </w:pPr>
    </w:p>
    <w:p>
      <w:pPr>
        <w:ind w:firstLine="656"/>
        <w:spacing w:after="0" w:line="282"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organized and validly existing under the laws of any U.S. domestic jurisdiction and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5.02 Successor Corporation Substituted. </w:t>
      </w:r>
      <w:r>
        <w:rPr>
          <w:rFonts w:ascii="Times New Roman" w:cs="Times New Roman" w:eastAsia="Times New Roman" w:hAnsi="Times New Roman"/>
          <w:sz w:val="18"/>
          <w:szCs w:val="18"/>
          <w:color w:val="auto"/>
        </w:rPr>
        <w:t>Upon any consolidation or merger, or any sale, lease, conveyance or other disposition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 or the terms of such Event of Default have been modified or superceded as set forth in the Board Resolution, supplemental indenture or Officers’ Certificate for such Securities of any Series:</w:t>
      </w:r>
    </w:p>
    <w:p>
      <w:pPr>
        <w:spacing w:after="0" w:line="182" w:lineRule="exact"/>
        <w:rPr>
          <w:sz w:val="20"/>
          <w:szCs w:val="20"/>
          <w:color w:val="auto"/>
        </w:rPr>
      </w:pPr>
    </w:p>
    <w:p>
      <w:pPr>
        <w:jc w:val="both"/>
        <w:ind w:firstLine="656"/>
        <w:spacing w:after="0" w:line="266"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admission in writing that it is generally unable to pay its debts as the same become due;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90 days;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2.02(n).</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of the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6.02 Acceleration of Maturity; Rescission and Annulment. </w:t>
      </w:r>
      <w:r>
        <w:rPr>
          <w:rFonts w:ascii="Times New Roman" w:cs="Times New Roman" w:eastAsia="Times New Roman" w:hAnsi="Times New Roman"/>
          <w:sz w:val="18"/>
          <w:szCs w:val="18"/>
          <w:color w:val="auto"/>
        </w:rPr>
        <w:t>If an Event of Default with respect to Securities of any Series at the time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that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Section 6.03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firstLine="656"/>
        <w:spacing w:after="0" w:line="282"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6.04 Trustee May File Proofs of Claim. </w:t>
      </w:r>
      <w:r>
        <w:rPr>
          <w:rFonts w:ascii="Times New Roman" w:cs="Times New Roman" w:eastAsia="Times New Roman" w:hAnsi="Times New Roman"/>
          <w:sz w:val="18"/>
          <w:szCs w:val="18"/>
          <w:color w:val="auto"/>
        </w:rPr>
        <w:t>In case of the pendency of any receivership, insolvency, liquidation, bankruptcy,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6.05 Trustee May Enforce Claims Without Possession of Securities. </w:t>
      </w:r>
      <w:r>
        <w:rPr>
          <w:rFonts w:ascii="Times New Roman" w:cs="Times New Roman" w:eastAsia="Times New Roman" w:hAnsi="Times New Roman"/>
          <w:sz w:val="18"/>
          <w:szCs w:val="18"/>
          <w:color w:val="auto"/>
        </w:rPr>
        <w:t>All rights of action and claims under this Indenture or the Securities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Application of Money Collected.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7.07;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6.07 Limitation on Suits. </w:t>
      </w:r>
      <w:r>
        <w:rPr>
          <w:rFonts w:ascii="Times New Roman" w:cs="Times New Roman" w:eastAsia="Times New Roman" w:hAnsi="Times New Roman"/>
          <w:sz w:val="18"/>
          <w:szCs w:val="18"/>
          <w:color w:val="auto"/>
        </w:rPr>
        <w:t>No Holder of any Security of any Series shall have any right to institute any proceeding, judicial or otherwise,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this Indenture, or for the appointment of a receiver or trustee, or for any other remedy hereunder, unless:</w:t>
      </w:r>
    </w:p>
    <w:p>
      <w:pPr>
        <w:spacing w:after="0" w:line="159" w:lineRule="exact"/>
        <w:rPr>
          <w:sz w:val="20"/>
          <w:szCs w:val="20"/>
          <w:color w:val="auto"/>
        </w:rPr>
      </w:pPr>
    </w:p>
    <w:p>
      <w:pPr>
        <w:ind w:left="900" w:hanging="244"/>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shall have offered to the Trustee security or indemnity satisfactory to it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6.08 Unconditional Right of Holders to Receive Principal and Interest. </w:t>
      </w:r>
      <w:r>
        <w:rPr>
          <w:rFonts w:ascii="Times New Roman" w:cs="Times New Roman" w:eastAsia="Times New Roman" w:hAnsi="Times New Roman"/>
          <w:sz w:val="18"/>
          <w:szCs w:val="18"/>
          <w:color w:val="auto"/>
        </w:rPr>
        <w:t>Notwithstanding any other provision in this Indenture, the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6.09 Restoration of Rights and Remedies. </w:t>
      </w:r>
      <w:r>
        <w:rPr>
          <w:rFonts w:ascii="Times New Roman" w:cs="Times New Roman" w:eastAsia="Times New Roman" w:hAnsi="Times New Roman"/>
          <w:sz w:val="18"/>
          <w:szCs w:val="18"/>
          <w:color w:val="auto"/>
        </w:rPr>
        <w:t>If the Trustee or any Holder has instituted any proceeding to enforce any right or remedy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6.10 Rights and Remedies Cumulative. </w:t>
      </w:r>
      <w:r>
        <w:rPr>
          <w:rFonts w:ascii="Times New Roman" w:cs="Times New Roman" w:eastAsia="Times New Roman" w:hAnsi="Times New Roman"/>
          <w:sz w:val="18"/>
          <w:szCs w:val="18"/>
          <w:color w:val="auto"/>
        </w:rPr>
        <w:t>Except as otherwise provided with respect to the replacement or payment of mutilated, destroyed, lost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6.11 Delay or Omission Not Waiver. </w:t>
      </w:r>
      <w:r>
        <w:rPr>
          <w:rFonts w:ascii="Times New Roman" w:cs="Times New Roman" w:eastAsia="Times New Roman" w:hAnsi="Times New Roman"/>
          <w:sz w:val="18"/>
          <w:szCs w:val="18"/>
          <w:color w:val="auto"/>
        </w:rPr>
        <w:t>No delay or omission of the Trustee or of any Holder of any Securities to exercise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6.12 Control by Holders. </w:t>
      </w:r>
      <w:r>
        <w:rPr>
          <w:rFonts w:ascii="Times New Roman" w:cs="Times New Roman" w:eastAsia="Times New Roman" w:hAnsi="Times New Roman"/>
          <w:sz w:val="18"/>
          <w:szCs w:val="18"/>
          <w:color w:val="auto"/>
        </w:rPr>
        <w:t>Subject to Section 7.02(f), the Holders of a majority in principal amount of the outstanding Securities of any Series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direct the time, method and place of conducting any proceeding for any remedy available to the Trustee, or exercising any trust or power conferred on the Trustee, with respect to the Securities of such Series, provided that:</w:t>
      </w:r>
    </w:p>
    <w:p>
      <w:pPr>
        <w:spacing w:after="0" w:line="175" w:lineRule="exact"/>
        <w:rPr>
          <w:sz w:val="20"/>
          <w:szCs w:val="20"/>
          <w:color w:val="auto"/>
        </w:rPr>
      </w:pPr>
    </w:p>
    <w:p>
      <w:pPr>
        <w:ind w:left="900" w:hanging="24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7.01, the Trustee shall have the right to decline to follow any such direction if the Trustee in good faith shall, by a Responsible Officer of the Trustee, determine that the proceeding so directed would involve the Trustee in personal liability.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6.13 Waiver of Past Defaults. </w:t>
      </w:r>
      <w:r>
        <w:rPr>
          <w:rFonts w:ascii="Times New Roman" w:cs="Times New Roman" w:eastAsia="Times New Roman" w:hAnsi="Times New Roman"/>
          <w:sz w:val="18"/>
          <w:szCs w:val="18"/>
          <w:color w:val="auto"/>
        </w:rPr>
        <w:t>The Holders of not less than a majority in principal amount of the outstanding Securities of any Series may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6.14 Undertaking for Costs. </w:t>
      </w:r>
      <w:r>
        <w:rPr>
          <w:rFonts w:ascii="Times New Roman" w:cs="Times New Roman" w:eastAsia="Times New Roman" w:hAnsi="Times New Roman"/>
          <w:sz w:val="18"/>
          <w:szCs w:val="18"/>
          <w:color w:val="auto"/>
        </w:rPr>
        <w:t>All parties to this Indenture agree, and each Holder of any Security by his acceptance thereof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Duties of Trustee.</w:t>
      </w:r>
    </w:p>
    <w:p>
      <w:pPr>
        <w:spacing w:after="0" w:line="229" w:lineRule="exact"/>
        <w:rPr>
          <w:sz w:val="20"/>
          <w:szCs w:val="20"/>
          <w:color w:val="auto"/>
        </w:rPr>
      </w:pPr>
    </w:p>
    <w:p>
      <w:pPr>
        <w:jc w:val="both"/>
        <w:ind w:firstLine="656"/>
        <w:spacing w:after="0" w:line="266" w:lineRule="auto"/>
        <w:tabs>
          <w:tab w:leader="none" w:pos="8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and is fully protected,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that:</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firstLine="1304"/>
        <w:spacing w:after="0" w:line="282" w:lineRule="auto"/>
        <w:tabs>
          <w:tab w:leader="none" w:pos="15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at the request or direction of any Holder unless it receives indemnity reasonably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the right to be indemnified, are extended to, and shall be enforceable by the Trustee in each of its capacities hereunder and to its agents. The provisions set forth in paragraphs (a), (b) and (c) of this Section shall apply to the Trustee in each of its capacities hereunder and its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Rights of Trustee.</w:t>
      </w:r>
    </w:p>
    <w:p>
      <w:pPr>
        <w:spacing w:after="0" w:line="229" w:lineRule="exact"/>
        <w:rPr>
          <w:sz w:val="20"/>
          <w:szCs w:val="20"/>
          <w:color w:val="auto"/>
        </w:rPr>
      </w:pPr>
    </w:p>
    <w:p>
      <w:pPr>
        <w:ind w:firstLine="656"/>
        <w:spacing w:after="0" w:line="282" w:lineRule="auto"/>
        <w:tabs>
          <w:tab w:leader="none" w:pos="8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at the direction of the Company, it may require an Officers’ Certificate. The Trustee shall not be liable for any action it takes or omits to take in good faith in reliance on such Officers’ Certificate.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negligence or willful misconduct.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right="20" w:firstLine="656"/>
        <w:spacing w:after="0" w:line="282" w:lineRule="auto"/>
        <w:tabs>
          <w:tab w:leader="none" w:pos="8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believed by the Trustee to be genuine and to have been signed or delivered by the proper person.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other than a failure by the Company to make any payment hereunder when due if the Trustee is the Paying Agent,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and states that it is a “notice of default.”</w:t>
      </w:r>
    </w:p>
    <w:p>
      <w:pPr>
        <w:spacing w:after="0" w:line="17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special, indirect, punitive, incidental or consequential loss or damage of any kind whatsoever (including, but not limited to, lost profits)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be responsible or liable for any failure or delay in the performance of its obligation under this Indenture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each of the Trustee and Agents shall use commercially reasonable efforts which are consistent with accepted practices in the banking industry to resume performance as soon as reasonably practicable under the circumstances.</w:t>
      </w:r>
    </w:p>
    <w:p>
      <w:pPr>
        <w:spacing w:after="0" w:line="187"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7.03 Individual Rights of Trustee. </w:t>
      </w:r>
      <w:r>
        <w:rPr>
          <w:rFonts w:ascii="Times New Roman" w:cs="Times New Roman" w:eastAsia="Times New Roman" w:hAnsi="Times New Roman"/>
          <w:sz w:val="18"/>
          <w:szCs w:val="18"/>
          <w:color w:val="auto"/>
        </w:rPr>
        <w:t>The Trustee in its individual or any other capacity may become the owner or pledgee of Securities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deal with the Company or an Affiliate of the Company with the same rights it would have if it were not Trustee. Any Agent may do the same with like rights. The Trustee is also subject to Sections 7.10 and 7.11.</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7.04 Trustee’s Disclaimer. </w:t>
      </w:r>
      <w:r>
        <w:rPr>
          <w:rFonts w:ascii="Times New Roman" w:cs="Times New Roman" w:eastAsia="Times New Roman" w:hAnsi="Times New Roman"/>
          <w:sz w:val="18"/>
          <w:szCs w:val="18"/>
          <w:color w:val="auto"/>
        </w:rPr>
        <w:t>The Trustee makes no representation as to the validity or adequacy of this Indenture or the Securities, it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accountable for the Company’s use of the proceeds from the Securities, and it shall not be responsible for any statement in the Securities other than its authentication.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7.05 Notice of Defaults. </w:t>
      </w:r>
      <w:r>
        <w:rPr>
          <w:rFonts w:ascii="Times New Roman" w:cs="Times New Roman" w:eastAsia="Times New Roman" w:hAnsi="Times New Roman"/>
          <w:sz w:val="18"/>
          <w:szCs w:val="18"/>
          <w:color w:val="auto"/>
        </w:rPr>
        <w:t>If a Default or Event of Default occurs and is continuing with respect to the Securities of any Series and if it is known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Officer of the Trustee, the Trustee shall deliver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Holders of that Series.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7.06 Reports by Trustee to Holders. </w:t>
      </w:r>
      <w:r>
        <w:rPr>
          <w:rFonts w:ascii="Times New Roman" w:cs="Times New Roman" w:eastAsia="Times New Roman" w:hAnsi="Times New Roman"/>
          <w:sz w:val="18"/>
          <w:szCs w:val="18"/>
          <w:color w:val="auto"/>
        </w:rPr>
        <w:t>Within 60 days after March 15 in each year, the Trustee shall transmit by deliver to all Holders,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and addresses appear on the register kept by the Registrar a brief report dated as of such March 15, in accordance with, and to the extent required under, TIA Section 313. A copy of each report at the time of its delivery to Holders of any Series shall be filed with the SEC and each stock exchange on which the Securities of that Series are listed. The Company shall promptly notify the Trustee when Securities of any Series are listed on any stock exchange.</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7.07 Compensation and Indemnity. </w:t>
      </w:r>
      <w:r>
        <w:rPr>
          <w:rFonts w:ascii="Times New Roman" w:cs="Times New Roman" w:eastAsia="Times New Roman" w:hAnsi="Times New Roman"/>
          <w:sz w:val="18"/>
          <w:szCs w:val="18"/>
          <w:color w:val="auto"/>
        </w:rPr>
        <w:t>The Company shall pay to the Trustee from time to time compensation for its services as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Failure or delay by the Trustee to so notify the Company of any claim for which it may seek indemnity shall not relieve the Company of its obligations hereunder except to the extent such failure or delay shall have materially prejudiced the Company.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gross negligence or willful misconduct of any such persons as determined by a final order of a court of competent jurisdiction. When the Trustee incurs expenses or renders services after an Event of Default specified in Section 6.01(d) or (e) occurs, the expenses and the compensation for the services are intended to constitute expenses of administration under any insolvency, bankruptcy or similar law. The provisions of this Section shall survive the resignation or removal of the Trustee and the termination or discharge of this Indenture.</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7.08 Replacement of Trustee. </w:t>
      </w:r>
      <w:r>
        <w:rPr>
          <w:rFonts w:ascii="Times New Roman" w:cs="Times New Roman" w:eastAsia="Times New Roman" w:hAnsi="Times New Roman"/>
          <w:sz w:val="18"/>
          <w:szCs w:val="18"/>
          <w:color w:val="auto"/>
        </w:rPr>
        <w:t>A resignation or removal of the Trustee and appointment of a successor Trustee shall become effective only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83" w:lineRule="exact"/>
        <w:rPr>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 or an order for relief is entered with respect to the Trustee under any insolvency, bankruptcy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900" w:hanging="244"/>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Holder of each such Series.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7.09 Successor Trustee by Merger, etc. </w:t>
      </w:r>
      <w:r>
        <w:rPr>
          <w:rFonts w:ascii="Times New Roman" w:cs="Times New Roman" w:eastAsia="Times New Roman" w:hAnsi="Times New Roman"/>
          <w:sz w:val="18"/>
          <w:szCs w:val="18"/>
          <w:color w:val="auto"/>
        </w:rPr>
        <w:t>If the Trustee consolidates with, merges or converts into, or transfers all or substantially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trust business (including administration of this Indenture) to, another corporation, the successor corporation without any further act shall be the successor Trustee.</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7.10 Eligibility; Disqualification. </w:t>
      </w:r>
      <w:r>
        <w:rPr>
          <w:rFonts w:ascii="Times New Roman" w:cs="Times New Roman" w:eastAsia="Times New Roman" w:hAnsi="Times New Roman"/>
          <w:sz w:val="18"/>
          <w:szCs w:val="18"/>
          <w:color w:val="auto"/>
        </w:rPr>
        <w:t>This Indenture shall always have a Trustee who satisfies the requirements of TIA Section 310(a)(1), (2)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and has a combined capital and surplus of at least $50,000,000. The Trustee shall comply with TIA Section 310(b).</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7.11 Preferential Collection of Claims Against Company. </w:t>
      </w:r>
      <w:r>
        <w:rPr>
          <w:rFonts w:ascii="Times New Roman" w:cs="Times New Roman" w:eastAsia="Times New Roman" w:hAnsi="Times New Roman"/>
          <w:sz w:val="18"/>
          <w:szCs w:val="18"/>
          <w:color w:val="auto"/>
        </w:rPr>
        <w:t>The Trustee is subject to TIA Section 311(a), excluding any creditor relationship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TIA Section 311(b). A Trustee who has resigned or been removed shall be subject to TIA Section 311(a) to the extent indicated.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Satisfaction and Discharge of Indenture.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162" w:lineRule="exact"/>
        <w:rPr>
          <w:sz w:val="20"/>
          <w:szCs w:val="20"/>
          <w:color w:val="auto"/>
        </w:rPr>
      </w:pPr>
    </w:p>
    <w:p>
      <w:pPr>
        <w:ind w:left="900" w:hanging="244"/>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shall have occurred: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have been issued 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304"/>
        <w:spacing w:after="0" w:line="256" w:lineRule="auto"/>
        <w:tabs>
          <w:tab w:leader="none" w:pos="16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Application of Trust Funds; Indemnification.</w:t>
      </w:r>
    </w:p>
    <w:p>
      <w:pPr>
        <w:spacing w:after="0" w:line="229" w:lineRule="exact"/>
        <w:rPr>
          <w:sz w:val="20"/>
          <w:szCs w:val="20"/>
          <w:color w:val="auto"/>
        </w:rPr>
      </w:pPr>
    </w:p>
    <w:p>
      <w:pPr>
        <w:jc w:val="both"/>
        <w:ind w:firstLine="656"/>
        <w:spacing w:after="0" w:line="256" w:lineRule="auto"/>
        <w:tabs>
          <w:tab w:leader="none" w:pos="9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8.03 Legal Defeasance of Securities of any Series. </w:t>
      </w:r>
      <w:r>
        <w:rPr>
          <w:rFonts w:ascii="Times New Roman" w:cs="Times New Roman" w:eastAsia="Times New Roman" w:hAnsi="Times New Roman"/>
          <w:sz w:val="18"/>
          <w:szCs w:val="18"/>
          <w:color w:val="auto"/>
        </w:rPr>
        <w:t>Unless this Section 8.03 is otherwise specified, pursuant to Section 2.02(s), to be inapplicable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spacing w:after="0" w:line="183" w:lineRule="exact"/>
        <w:rPr>
          <w:sz w:val="20"/>
          <w:szCs w:val="20"/>
          <w:color w:val="auto"/>
        </w:rPr>
      </w:pPr>
    </w:p>
    <w:p>
      <w:pPr>
        <w:jc w:val="both"/>
        <w:ind w:firstLine="656"/>
        <w:spacing w:after="0" w:line="261" w:lineRule="auto"/>
        <w:tabs>
          <w:tab w:leader="none" w:pos="9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2.04, 2.05, 2.07, 2.08, 8.02, 8.03 and 8.05;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 provided that, the following conditions shall have been satisfied: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firstLine="656"/>
        <w:spacing w:after="0" w:line="282" w:lineRule="auto"/>
        <w:tabs>
          <w:tab w:leader="none" w:pos="8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8.04 Covenant Defeasance. </w:t>
      </w:r>
      <w:r>
        <w:rPr>
          <w:rFonts w:ascii="Times New Roman" w:cs="Times New Roman" w:eastAsia="Times New Roman" w:hAnsi="Times New Roman"/>
          <w:sz w:val="18"/>
          <w:szCs w:val="18"/>
          <w:color w:val="auto"/>
        </w:rPr>
        <w:t>Unless this Section 8.04 is otherwise specified, pursuant to Section 2.02(s), to be inapplicable to Securities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189" w:lineRule="exact"/>
        <w:rPr>
          <w:sz w:val="20"/>
          <w:szCs w:val="20"/>
          <w:color w:val="auto"/>
        </w:rPr>
      </w:pPr>
    </w:p>
    <w:p>
      <w:pPr>
        <w:jc w:val="both"/>
        <w:ind w:firstLine="656"/>
        <w:spacing w:after="0" w:line="254" w:lineRule="auto"/>
        <w:tabs>
          <w:tab w:leader="none" w:pos="9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Repayment to Company. </w:t>
      </w:r>
      <w:r>
        <w:rPr>
          <w:rFonts w:ascii="Times New Roman" w:cs="Times New Roman" w:eastAsia="Times New Roman" w:hAnsi="Times New Roman"/>
          <w:sz w:val="18"/>
          <w:szCs w:val="18"/>
          <w:color w:val="auto"/>
        </w:rPr>
        <w:t>The Trustee and the Paying Agent shall pay to the Company upon written request any money held by them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principal and interest that remains unclaimed for two years, and after such time, Holders entitled to the money must look to the Company for payment as general creditors unless an applicable abandoned property law designates another person.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8.06 Reinstatement. </w:t>
      </w:r>
      <w:r>
        <w:rPr>
          <w:rFonts w:ascii="Times New Roman" w:cs="Times New Roman" w:eastAsia="Times New Roman" w:hAnsi="Times New Roman"/>
          <w:sz w:val="18"/>
          <w:szCs w:val="18"/>
          <w:color w:val="auto"/>
        </w:rPr>
        <w:t>If the Trustee or the Paying Agent is unable to apply any money deposited with respect to Securities of any series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9.01 Without Consent of Holders. </w:t>
      </w:r>
      <w:r>
        <w:rPr>
          <w:rFonts w:ascii="Times New Roman" w:cs="Times New Roman" w:eastAsia="Times New Roman" w:hAnsi="Times New Roman"/>
          <w:sz w:val="18"/>
          <w:szCs w:val="18"/>
          <w:color w:val="auto"/>
        </w:rPr>
        <w:t>Unless otherwise specified for a particular Series by a Board Resolution, a supplemental indenture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Certificate, the Company and the Trustee may amend or supplement this Indenture or the Securities of one or more Series without the consent of any Holder:</w:t>
      </w:r>
    </w:p>
    <w:p>
      <w:pPr>
        <w:spacing w:after="0" w:line="175" w:lineRule="exact"/>
        <w:rPr>
          <w:sz w:val="20"/>
          <w:szCs w:val="20"/>
          <w:color w:val="auto"/>
        </w:rPr>
      </w:pPr>
    </w:p>
    <w:p>
      <w:pPr>
        <w:ind w:firstLine="656"/>
        <w:spacing w:after="0" w:line="282" w:lineRule="auto"/>
        <w:tabs>
          <w:tab w:leader="none" w:pos="8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under this Indenture and the Securities and the assumption by any such Successor Person of the obligations of the Company hereunder and under the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Holders;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880" w:hanging="224"/>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forms or terms of the Securities of any series issued pursuant to the terms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correct any inconsistency in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this Indenture under the Trust Indenture Act;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880" w:hanging="224"/>
        <w:spacing w:after="0"/>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Indenture to any Description of Securities for a particular Series of Securities;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or regulations of any securities exchange or automated quotation system on which any of the Securities may be listed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traded.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9.02 With Consent of Holders. </w:t>
      </w:r>
      <w:r>
        <w:rPr>
          <w:rFonts w:ascii="Times New Roman" w:cs="Times New Roman" w:eastAsia="Times New Roman" w:hAnsi="Times New Roman"/>
          <w:sz w:val="18"/>
          <w:szCs w:val="18"/>
          <w:color w:val="auto"/>
        </w:rPr>
        <w:t>The Company and the Trustee may enter into a supplemental indenture with the written consent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9.03 Limitations. </w:t>
      </w:r>
      <w:r>
        <w:rPr>
          <w:rFonts w:ascii="Times New Roman" w:cs="Times New Roman" w:eastAsia="Times New Roman" w:hAnsi="Times New Roman"/>
          <w:sz w:val="18"/>
          <w:szCs w:val="18"/>
          <w:color w:val="auto"/>
        </w:rPr>
        <w:t>Unless otherwise specified for a particular Series by a Board Resolution, a supplemental indenture or an Officers’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each Holder affected, an amendment or waiver may not:</w:t>
      </w:r>
    </w:p>
    <w:p>
      <w:pPr>
        <w:spacing w:after="0" w:line="159" w:lineRule="exact"/>
        <w:rPr>
          <w:sz w:val="20"/>
          <w:szCs w:val="20"/>
          <w:color w:val="auto"/>
        </w:rPr>
      </w:pPr>
    </w:p>
    <w:p>
      <w:pPr>
        <w:ind w:left="900" w:hanging="244"/>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firstLine="656"/>
        <w:spacing w:after="0" w:line="282" w:lineRule="auto"/>
        <w:tabs>
          <w:tab w:leader="none" w:pos="8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6.08, 6.13, or 9.03;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9.04 Compliance with Trust Indenture Act. </w:t>
      </w:r>
      <w:r>
        <w:rPr>
          <w:rFonts w:ascii="Times New Roman" w:cs="Times New Roman" w:eastAsia="Times New Roman" w:hAnsi="Times New Roman"/>
          <w:sz w:val="18"/>
          <w:szCs w:val="18"/>
          <w:color w:val="auto"/>
        </w:rPr>
        <w:t>Every amendment to this Indenture or the Securities of one or more Series shall be set forth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hereto that complies with the TIA as then in effect.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9.05 Revocation and Effect of Consents. </w:t>
      </w:r>
      <w:r>
        <w:rPr>
          <w:rFonts w:ascii="Times New Roman" w:cs="Times New Roman" w:eastAsia="Times New Roman" w:hAnsi="Times New Roman"/>
          <w:sz w:val="18"/>
          <w:szCs w:val="18"/>
          <w:color w:val="auto"/>
        </w:rPr>
        <w:t>Until an amendment is set forth in a supplemental indenture or a waiver becomes effective, a consent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9.06 Notation on or Exchange of Securities. </w:t>
      </w:r>
      <w:r>
        <w:rPr>
          <w:rFonts w:ascii="Times New Roman" w:cs="Times New Roman" w:eastAsia="Times New Roman" w:hAnsi="Times New Roman"/>
          <w:sz w:val="18"/>
          <w:szCs w:val="18"/>
          <w:color w:val="auto"/>
        </w:rPr>
        <w:t>The Trustee may place an appropriate notation about an amendment or waiver on any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Series thereafter authenticated. The Company in exchange for Securities of that Series may issue and the Trustee shall authenticate upon request new Securities of that Series that reflect the amendment or waiver.</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9.07 Trustee Protected. </w:t>
      </w:r>
      <w:r>
        <w:rPr>
          <w:rFonts w:ascii="Times New Roman" w:cs="Times New Roman" w:eastAsia="Times New Roman" w:hAnsi="Times New Roman"/>
          <w:sz w:val="18"/>
          <w:szCs w:val="18"/>
          <w:color w:val="auto"/>
        </w:rPr>
        <w:t>In executing, or accepting the additional trusts created by, any supplemental indenture permitted by this Article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thereby of the trusts created by this Indenture, the Trustee shall receive, in addition to the documents required by Section 10.04, and (subject to Section 7.01) shall be fully protected in relying upon, an Opinion of Counsel stating that all conditions precedent in this Indenture to the execution of such supplemental indenture, if any, have been complied with, such supplemental indenture is authorized hereunder, and, that such supplemental indenture is the valid and legally binding obligation of the Company. The Trustee shall sign all supplemental indentures, except that the Trustee need not sign any supplemental indenture that adversely affects its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10.01 Trust Indenture Act Controls. </w:t>
      </w:r>
      <w:r>
        <w:rPr>
          <w:rFonts w:ascii="Times New Roman" w:cs="Times New Roman" w:eastAsia="Times New Roman" w:hAnsi="Times New Roman"/>
          <w:sz w:val="18"/>
          <w:szCs w:val="18"/>
          <w:color w:val="auto"/>
        </w:rPr>
        <w:t>If any provision of this Indenture limits, qualifies or conflicts with another provision which is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included in this Indenture by the TIA, such required or deemed provision shall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Notices.</w:t>
      </w:r>
    </w:p>
    <w:p>
      <w:pPr>
        <w:spacing w:after="0" w:line="229" w:lineRule="exact"/>
        <w:rPr>
          <w:sz w:val="20"/>
          <w:szCs w:val="20"/>
          <w:color w:val="auto"/>
        </w:rPr>
      </w:pPr>
    </w:p>
    <w:p>
      <w:pPr>
        <w:ind w:firstLine="656"/>
        <w:spacing w:after="0" w:line="282" w:lineRule="auto"/>
        <w:tabs>
          <w:tab w:leader="none" w:pos="8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or sent by telecopier transmission or electronic transmission in PDF addressed as follows: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4175 Cameron St Ste 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Las Vegas, NV 89103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Zhenwu (Wayne) Huang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(866) 236-3835</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900" w:hanging="920"/>
        <w:spacing w:after="0"/>
        <w:tabs>
          <w:tab w:leader="none" w:pos="1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to a Holder shall be delivered to his address shown on the register kept by the Registrar. Failure to deliver a notice or communication to a Holder of any Series or any defect in it shall not affect its sufficiency with respect to other Holders of that or any other Series. If a notice or communication is delivered in the manner provided above, within the time prescribed, it is duly given, whether or not the Holder receives it. If the Company delivers a notice or communication to Holders, it shall deliver a copy to the Trustee and each Agent at the same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10.03 Communication by Holders with Other Holders. </w:t>
      </w:r>
      <w:r>
        <w:rPr>
          <w:rFonts w:ascii="Times New Roman" w:cs="Times New Roman" w:eastAsia="Times New Roman" w:hAnsi="Times New Roman"/>
          <w:sz w:val="18"/>
          <w:szCs w:val="18"/>
          <w:color w:val="auto"/>
        </w:rPr>
        <w:t>Holders of any Series may communicate pursuant to TIA Section 312(b)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that Series or any other Series with respect to their rights under this Indenture or the Securities of that Series or all Series. The Company, the Trustee, the Registrar and anyone else shall have the protection of TIA Section 312(c).</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10.04 Certificate and Opinion as to Conditions Precedent. </w:t>
      </w:r>
      <w:r>
        <w:rPr>
          <w:rFonts w:ascii="Times New Roman" w:cs="Times New Roman" w:eastAsia="Times New Roman" w:hAnsi="Times New Roman"/>
          <w:sz w:val="18"/>
          <w:szCs w:val="18"/>
          <w:color w:val="auto"/>
        </w:rPr>
        <w:t>Upon any request or application by the Company to the Trustee to take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the Company shall furnish to the Trustee:</w:t>
      </w:r>
    </w:p>
    <w:p>
      <w:pPr>
        <w:spacing w:after="0" w:line="159" w:lineRule="exact"/>
        <w:rPr>
          <w:sz w:val="20"/>
          <w:szCs w:val="20"/>
          <w:color w:val="auto"/>
        </w:rPr>
      </w:pPr>
    </w:p>
    <w:p>
      <w:pPr>
        <w:ind w:firstLine="65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10.05 Statements Required in Certificate or Opinion. </w:t>
      </w:r>
      <w:r>
        <w:rPr>
          <w:rFonts w:ascii="Times New Roman" w:cs="Times New Roman" w:eastAsia="Times New Roman" w:hAnsi="Times New Roman"/>
          <w:sz w:val="18"/>
          <w:szCs w:val="18"/>
          <w:color w:val="auto"/>
        </w:rPr>
        <w:t>Each certificate or opinion with respect to compliance with a condition or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this Indenture (other than a certificate provided pursuant to TIA Section 314(a)(4)) shall comply with the provisions of TIA Section 314(e) and shall include:</w:t>
      </w:r>
    </w:p>
    <w:p>
      <w:pPr>
        <w:spacing w:after="0" w:line="175" w:lineRule="exact"/>
        <w:rPr>
          <w:sz w:val="20"/>
          <w:szCs w:val="20"/>
          <w:color w:val="auto"/>
        </w:rPr>
      </w:pPr>
    </w:p>
    <w:p>
      <w:pPr>
        <w:ind w:left="900" w:hanging="244"/>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10.06 Rules by Trustee and Agents. </w:t>
      </w:r>
      <w:r>
        <w:rPr>
          <w:rFonts w:ascii="Times New Roman" w:cs="Times New Roman" w:eastAsia="Times New Roman" w:hAnsi="Times New Roman"/>
          <w:sz w:val="18"/>
          <w:szCs w:val="18"/>
          <w:color w:val="auto"/>
        </w:rPr>
        <w:t>The Trustee may make reasonable rules for action by or a meeting of Holders of one or more Series.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may make reasonable rules and set reasonable requirements for its functions.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10.07 Legal Holidays. </w:t>
      </w:r>
      <w:r>
        <w:rPr>
          <w:rFonts w:ascii="Times New Roman" w:cs="Times New Roman" w:eastAsia="Times New Roman" w:hAnsi="Times New Roman"/>
          <w:sz w:val="18"/>
          <w:szCs w:val="18"/>
          <w:color w:val="auto"/>
        </w:rPr>
        <w:t>Unless otherwise provided by Board Resolution, Officers’ Certificate or supplemental indenture hereto for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10.08 No Recourse Against Others. </w:t>
      </w:r>
      <w:r>
        <w:rPr>
          <w:rFonts w:ascii="Times New Roman" w:cs="Times New Roman" w:eastAsia="Times New Roman" w:hAnsi="Times New Roman"/>
          <w:sz w:val="18"/>
          <w:szCs w:val="18"/>
          <w:color w:val="auto"/>
        </w:rPr>
        <w:t>A director, officer, employee or stockholder, as such, of the Company shall not have any liability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10.09 Counterparts. </w:t>
      </w:r>
      <w:r>
        <w:rPr>
          <w:rFonts w:ascii="Times New Roman" w:cs="Times New Roman" w:eastAsia="Times New Roman" w:hAnsi="Times New Roman"/>
          <w:sz w:val="18"/>
          <w:szCs w:val="18"/>
          <w:color w:val="auto"/>
        </w:rPr>
        <w:t>This Indenture may be executed in any number of counterparts and by the parties hereto in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10.10 Governing Laws. </w:t>
      </w:r>
      <w:r>
        <w:rPr>
          <w:rFonts w:ascii="Times New Roman" w:cs="Times New Roman" w:eastAsia="Times New Roman" w:hAnsi="Times New Roman"/>
          <w:sz w:val="18"/>
          <w:szCs w:val="18"/>
          <w:color w:val="auto"/>
        </w:rPr>
        <w:t>This Indenture and the Securities will be governed by, and construed in accordance with,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10.11 No Adverse Interpretation of Other Agreements. </w:t>
      </w:r>
      <w:r>
        <w:rPr>
          <w:rFonts w:ascii="Times New Roman" w:cs="Times New Roman" w:eastAsia="Times New Roman" w:hAnsi="Times New Roman"/>
          <w:sz w:val="18"/>
          <w:szCs w:val="18"/>
          <w:color w:val="auto"/>
        </w:rPr>
        <w:t>This Indenture may not be used to interpret another indenture, loan or debt agreement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 Subsidiary of the Company. Any such indenture, loan or debt agreement may not be used to interpret this Indenture.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10.12 Successors. </w:t>
      </w: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shall bind its successor.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10.13 Severability. </w:t>
      </w: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10.14 Table of Contents, Headings, Etc. </w:t>
      </w:r>
      <w:r>
        <w:rPr>
          <w:rFonts w:ascii="Times New Roman" w:cs="Times New Roman" w:eastAsia="Times New Roman" w:hAnsi="Times New Roman"/>
          <w:sz w:val="18"/>
          <w:szCs w:val="18"/>
          <w:color w:val="auto"/>
        </w:rPr>
        <w:t>The Table of Contents, Cross-Reference Table, and headings of the Articles and Sections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have been inserted for convenience of reference only, are not to be considered a part hereof, and shall in no way modify or restrict any of the terms or provisions hereof.</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10.15 Securities in a Foreign Currency. </w:t>
      </w:r>
      <w:r>
        <w:rPr>
          <w:rFonts w:ascii="Times New Roman" w:cs="Times New Roman" w:eastAsia="Times New Roman" w:hAnsi="Times New Roman"/>
          <w:sz w:val="18"/>
          <w:szCs w:val="18"/>
          <w:color w:val="auto"/>
        </w:rPr>
        <w:t>Unless otherwise specified in a Board Resolution, a supplemental indenture hereto or an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 w:cs="Times New Roman" w:eastAsia="Times New Roman" w:hAnsi="Times New Roman"/>
          <w:sz w:val="18"/>
          <w:szCs w:val="18"/>
          <w:i w:val="1"/>
          <w:iCs w:val="1"/>
          <w:color w:val="auto"/>
        </w:rPr>
        <w:t>Market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shall mean the noon Dollar buying rate in New York City for cable transfers of that currency as published by the Federal Reserve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such Market Exchange Rate is not available for any reason with respect to such currency, the Company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Company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the Trustee and all Holders. The Trustee shall have no duty to calculate or verify the calculations made pursuant to this Section 10.15.</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10.16 U.S.A. Patriot Act. </w:t>
      </w:r>
      <w:r>
        <w:rPr>
          <w:rFonts w:ascii="Times New Roman" w:cs="Times New Roman" w:eastAsia="Times New Roman" w:hAnsi="Times New Roman"/>
          <w:sz w:val="18"/>
          <w:szCs w:val="18"/>
          <w:color w:val="auto"/>
        </w:rPr>
        <w:t>The Company acknowledges that in accordance with Section 326 of the U.S.A. Patriot Act, the Trustee, like all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10.17 Waiver of Jury Trial. </w:t>
      </w:r>
      <w:r>
        <w:rPr>
          <w:rFonts w:ascii="Times New Roman" w:cs="Times New Roman" w:eastAsia="Times New Roman" w:hAnsi="Times New Roman"/>
          <w:sz w:val="18"/>
          <w:szCs w:val="18"/>
          <w:color w:val="auto"/>
        </w:rPr>
        <w:t>EACH OF THE COMPANY AND THE TRUSTEE HEREBY IRREVOCABLY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ANY AND ALL RIGHT TO TRIAL BY JURY IN ANY LEGAL PROCEEDING AS BETWEEN THE COMPANY AND THE TRUSTEE ONLY ARISING OUT OF OR RELATING TO THIS INDENTURE OR THE SECURITIES.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11.01 Applicability of Article. </w:t>
      </w:r>
      <w:r>
        <w:rPr>
          <w:rFonts w:ascii="Times New Roman" w:cs="Times New Roman" w:eastAsia="Times New Roman" w:hAnsi="Times New Roman"/>
          <w:sz w:val="18"/>
          <w:szCs w:val="18"/>
          <w:color w:val="auto"/>
        </w:rPr>
        <w:t>The provisions of this Article shall be applicable to any sinking fund for the retirement of the Securities of a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permitted or required by any form of Security of such Series issued pursuant to this Indenture. 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11.02 Satisfaction of Sinking Fund Payments with Securities. </w:t>
      </w:r>
      <w:r>
        <w:rPr>
          <w:rFonts w:ascii="Times New Roman" w:cs="Times New Roman" w:eastAsia="Times New Roman" w:hAnsi="Times New Roman"/>
          <w:sz w:val="18"/>
          <w:szCs w:val="18"/>
          <w:color w:val="auto"/>
        </w:rPr>
        <w:t>The Company may, in satisfaction of all or any part of any sinking fund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11.03 Redemption of Securities for Sinking Fund. </w:t>
      </w:r>
      <w:r>
        <w:rPr>
          <w:rFonts w:ascii="Times New Roman" w:cs="Times New Roman" w:eastAsia="Times New Roman" w:hAnsi="Times New Roman"/>
          <w:sz w:val="18"/>
          <w:szCs w:val="18"/>
          <w:color w:val="auto"/>
        </w:rPr>
        <w:t>Not less than 45 days (unless otherwise indicated in the Board Resolution,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ind w:firstLine="44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attested, all as of the day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6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Trustee</w:t>
            </w:r>
          </w:p>
        </w:tc>
        <w:tc>
          <w:tcPr>
            <w:tcW w:w="3660" w:type="dxa"/>
            <w:vAlign w:val="bottom"/>
          </w:tcPr>
          <w:p>
            <w:pPr>
              <w:spacing w:after="0"/>
              <w:rPr>
                <w:sz w:val="20"/>
                <w:szCs w:val="20"/>
                <w:color w:val="auto"/>
              </w:rPr>
            </w:pPr>
          </w:p>
        </w:tc>
      </w:tr>
      <w:tr>
        <w:trPr>
          <w:trHeight w:val="43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4"/>
                <w:szCs w:val="24"/>
                <w:color w:val="auto"/>
              </w:rPr>
            </w:pP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6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-119380</wp:posOffset>
            </wp:positionV>
            <wp:extent cx="17145" cy="548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1071245" cy="31750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Las Vegas, Nevada 89148</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PH (702) 692-8026 | FX (702) 692-8075</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4175 Cameron Street, Suite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89103</w:t>
      </w:r>
    </w:p>
    <w:p>
      <w:pPr>
        <w:spacing w:after="0" w:line="20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Richtech Robotics Inc./Registration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acted as special Nevada counsel to Richtech Robotics Inc., a Nevada corporation (the “Company”), in connection with the registration by the Company under the Securities Act of 1933, as amended (the “Securities Act”), on a Form S-3 Registration Statement (the “Registration Statement”), as filed with the Securities and Exchange Commission (the “Commission”), of:</w:t>
      </w:r>
    </w:p>
    <w:p>
      <w:pPr>
        <w:spacing w:after="0" w:line="176" w:lineRule="exact"/>
        <w:rPr>
          <w:sz w:val="20"/>
          <w:szCs w:val="20"/>
          <w:color w:val="auto"/>
        </w:rPr>
      </w:pPr>
    </w:p>
    <w:p>
      <w:pPr>
        <w:ind w:firstLine="656"/>
        <w:spacing w:after="0" w:line="282" w:lineRule="auto"/>
        <w:tabs>
          <w:tab w:leader="none" w:pos="9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Securities (as defined below) to be issued from time-to-time by the Company in one or more offerings and in any combination of the Securities;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$1,000,000,000 of shares (the “Shares”) of its Class B common stock, $0.0001 par value per share (the “Common Stock”), to be issued by the Company under that certain At The Market Offering Agreement dated September 23, 2025 (the “Offering Agreement”), by and among the Company, and Rodman &amp; Renshaw LLC and H.C. Wainwright &amp; Co., LLC as agents, from time-to-time at the election of the Company pursuant to the Offering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prospectus (the “Prospectus”) that forms part of the Registration Statement provides that it will be supplemented by one or more prospectus supplements in connection with the registration of any Securities. The Registration Statement, including the Prospectus as supplemented from time-to-time by one or more prospectus supplements, covers the offering and issuance by the Company of:</w:t>
      </w:r>
    </w:p>
    <w:p>
      <w:pPr>
        <w:spacing w:after="0" w:line="176" w:lineRule="exact"/>
        <w:rPr>
          <w:sz w:val="20"/>
          <w:szCs w:val="20"/>
          <w:color w:val="auto"/>
        </w:rPr>
      </w:pPr>
    </w:p>
    <w:p>
      <w:pPr>
        <w:ind w:left="900" w:hanging="244"/>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Common Stock;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$0.0001 per share (the “Preferred Stock”);</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for the purchase and sale of the Company’s Common Stock, Preferred Stock, Warrants (as defined below), Depository Shares (as defined below), Debt Securities (as defined below), or any combination thereof (the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67691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Company’s Securities (as defined below) or other rights, or any combination thereof (the “Warrants”);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Company’s Securities (the “Subscription Rights”);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to purchase a fractional interest of any of the Company’s Preferred Stock (“Depository Shares”);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issued by the Company, which may be senior debt, senior subordinated debt, or subordinated debt (the “Debt Securities”);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comprised of any combination of the Securities (the “Units”).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Common Stock, the Preferred Stock, the Purchase Contracts, the Warrants, the Subscription Rights, the Depository Shares, the Debt Securities, and the Units are collectively referred to herein as the “Securities.” The Securities may be issued and sold by the Company in an unspecified number and the Debt Securities may be issued in an unspecified principal amount pursuant to the applicable provisions of Rule 415 of the Securities Act. The Registration Statement provides that the Securities may be offered separately or together, in one or more series or classes, and in amounts, at prices, and on terms to be described in one or more prospectus supplements. The Securities are to be sold pursuant to a purchase, underwriting, subscription, placement agency, or similar agreement, which will be in substantially the forms previously filed or to be filed under a Current Report on Form 8-K.</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Shares are being registered under the above-referenced Registration Statement and the prospectus supplement thereto dated as of the date hereof (the “Prospectus Supplement”).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Articles of Incorporation of the Company as filed with the Secretary of State of Nevada on November 17, 2023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67691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Bylaws of the Company as adopted effective as of January 8, 2024 (the “Bylaws”);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agreements, resolutions of the Board of Directors of the Company (the “Board”), and such other matters as relevant related to the registration of the Securities and the Shares under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and agents of the Company, and have relied upon, such certificates, representations, and assurances as we have deemed necessary and appropriate for purposes of rendering this opinion letter. We have also examined such other corporate charter documents, records, certificates, and instruments (collectively with the documents identified in (a) through (f) above, the “Documents”) as we deem necessary or advisable to render the opinions set forth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w:t>
      </w:r>
    </w:p>
    <w:p>
      <w:pPr>
        <w:spacing w:after="0" w:line="207" w:lineRule="exact"/>
        <w:rPr>
          <w:sz w:val="20"/>
          <w:szCs w:val="20"/>
          <w:color w:val="auto"/>
        </w:rPr>
      </w:pPr>
    </w:p>
    <w:p>
      <w:pPr>
        <w:ind w:left="940" w:hanging="284"/>
        <w:spacing w:after="0"/>
        <w:tabs>
          <w:tab w:leader="none" w:pos="9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Documents are or will be upon execution and delivery enforceable in accordance with their terms with respect to all parties;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Offering Agreement is enforceable in accordance with it terms;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issue and deliver the Shares in accordance with the terms of the Offering Agreement without waiver or breach of any material terms or provisions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execution, delivery and performance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67691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56"/>
        <w:spacing w:after="0" w:line="252" w:lineRule="auto"/>
        <w:tabs>
          <w:tab w:leader="none" w:pos="8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Registration Statement and any amendments thereto shall have become effective under the Securities Act and will remain effective at the time of issuance of any Common Stock or Preferred Stock thereunder; (ii) a prospectus supplement describing each class of Common Stock or Preferred Stock offered pursuant to the Registration Statement will be timely filed with the Commission; (iii) the definitive terms of each class or series of Common Stock or Preferred Stock shall have been established in accordance with resolutions (each, a “Board Action”) duly adopted by the Company’s Board in compliance with the Company’s Articles of Incorporation, Bylaws, and applicable law; (iv) a Certificate of Designation related to the establishment of any series of Preferred Stock will have been duly adopted by the Company’s Board and duly filed with the Nevada Secretary of State; (v) the Company will issue and deliver the Common Stock or Preferred Stock identified in any applicable prospectus supplement in the manner contemplated by the Registration Statement, the Prospectus, the applicable prospectus supplement, and any applicable underwriting, subscription, placement agency, or similar agreement; (vi) the total number of shares of Common Stock issuable (including upon conversion, exchange, or exercise of any other security) will not exceed the total number of shares of Common Stock that the Company is authorized to issue and has available under its Articles of Incorporation at the time of issuance; (vii) the total number of shares of Preferred Stock issuable (including upon conversion, exchange, or exercise of any other security) will not exceed the total number of shares of Preferred Stock that the Company is authorized to issue and has available under its Articles of Incorporation and the applicable Certificate of Designation related to the Preferred Stock at the time of issuance; (viii) the Board Action authorizing the Company to offer, issue, and sell the Common Stock and Preferred Stock will have been adopted by the Board and will be in full force and effect at the time the Securities are offered and sold by the Company; and (ix) the Common Stock and Preferred Stock will have been issued in compliance with federal and state securities law.</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below are limited to the matters specifically set forth herein and no other opinion shall be inferred beyond the matters expressly stated. We disclaim any undertaking to advise you of any subsequent changes in the facts stated or assumed for purposes of delivering these opinions expressed herein or any changes in applicable law that may come to our attention after the date the Registration Statement is declared effective.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limitations, and qualifications set forth herein, we are of the opinion that:</w:t>
      </w:r>
    </w:p>
    <w:p>
      <w:pPr>
        <w:spacing w:after="0" w:line="162" w:lineRule="exact"/>
        <w:rPr>
          <w:sz w:val="20"/>
          <w:szCs w:val="20"/>
          <w:color w:val="auto"/>
        </w:rPr>
      </w:pPr>
    </w:p>
    <w:p>
      <w:pPr>
        <w:jc w:val="both"/>
        <w:ind w:firstLine="656"/>
        <w:spacing w:after="0" w:line="254"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to be sold by the Company, including any Common Stock duly issued: (i) upon the exchange or conversion of any duly issued preferred stock or debt securities, including the Preferred Stock or Debt Securities offered and issued under the Registration Statement, (ii) under the terms of any purchase contract or subscription rights, including any Purchase Contract or Subscription Rights offered and issued under the Registration Statement, (iii) upon the exercise of any warrants, including any Warrants offered and issued under the Registration Statement, or (iv) as a unit in combination with other securities of the Company, including any Unit offered and issued under the Registration Statement, upon issuance and delivery of certificates (or book-entry notation) against payment therefor as set forth in the applicable underwriting, subscription, placement agency, or similar agreement related to the issuance of the Common Stock as described in the Registration Statement, Prospectus, or a prospectus supplement, has been duly authorized and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67691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54" w:lineRule="auto"/>
        <w:tabs>
          <w:tab w:leader="none" w:pos="9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to be sold by the Company, including any Preferred Stock duly issued (i) upon the exchange or conversion of any duly issued debt securities, including the Debt Securities offered and issued under the Registration Statement, (ii) under the terms of any purchase contract or subscription rights, including any Purchase Contract or Subscription Rights offered and issued under the Registration Statement, (iii) upon the exercise of any warrants, including any Warrants offered and issued under the Registration Statement, (iv) and underlying any depository shares, including the Depository Shares offered and issued under the Registration Statement, or (v) as a unit in combination with other securities of the Company, including any Unit offered and issued under the Registration Statement, upon issuance and delivery of certificates (or book-entry notation) against payment therefor as set forth in the applicable underwriting, subscription, placement agency, or similar agreement related to the issuance of the Preferred Stock as described in the Registration Statement, Prospectus, or a prospectus supplement, has been duly authorized and will be validly issued, fully paid, and non-assessable.</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against payment therefor as set forth in the Offering Agreement, the Shares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The opinions we express herein are limited solely to the laws of the State of Nevada, other than the securities laws and regulations of the State of Nevada (as to which we express no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67691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Registration Statement and the Prospectus Supplement.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5.2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www.egsllp.com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4175 Cameron Street, Suite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counsel to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offer and sale from time to time by the Company of an indeterminate number of the following securities (each a “</w:t>
      </w:r>
      <w:r>
        <w:rPr>
          <w:rFonts w:ascii="Times New Roman" w:cs="Times New Roman" w:eastAsia="Times New Roman" w:hAnsi="Times New Roman"/>
          <w:sz w:val="18"/>
          <w:szCs w:val="18"/>
          <w:b w:val="1"/>
          <w:bCs w:val="1"/>
          <w:color w:val="auto"/>
        </w:rPr>
        <w:t>Company Security</w:t>
      </w:r>
      <w:r>
        <w:rPr>
          <w:rFonts w:ascii="Times New Roman" w:cs="Times New Roman" w:eastAsia="Times New Roman" w:hAnsi="Times New Roman"/>
          <w:sz w:val="18"/>
          <w:szCs w:val="18"/>
          <w:color w:val="auto"/>
        </w:rPr>
        <w:t>” and collectively, or in any combination,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Class B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classes or series of shares of the Company’s preferred stock, $0.0001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entitling or obligating holders to purchase from or sell to the Company, and for the Company to sell to or purchase from such holders, a specific or varying number of debt or equity securities issued by the Company or by an entity other than the Company at a future date or dates;</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debt securities, other securities or any combination of those securities;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convertible or non-convertible, secured or unsecured); and</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foregoing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Securities may be issued and sold by the Company pursuant to applicable provisions of Rule 415 under the Securities Act, in amounts, at prices and on terms to be determined in light of market conditions at the time of sale, and as set forth in the Registration Statement, any amendment thereto, the prospectus contained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any supplements to the Prospectus (each, a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The Company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exhibits filed therewith, (ii) the Prospectus, (iii) the Company’s Second Amended and Restated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(iv) the Company’s Second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(v) the corporate resolutions and other actions of the Company that authorize and provide for the filing of the Registration Statement, and we have made such other investigation as we have deemed appropriate. We have not independently established any of the facts so relied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opinion letter, 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and employees of the Company are correct as to questions of fact, that the board of directors will have taken all action necessary to set the issuance price of the Company Securities to be offered and sold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the laws of the State of New York.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qualifications, limitations and exceptions set forth below, we are of the opinion that:</w:t>
      </w:r>
    </w:p>
    <w:p>
      <w:pPr>
        <w:spacing w:after="0" w:line="162" w:lineRule="exact"/>
        <w:rPr>
          <w:sz w:val="20"/>
          <w:szCs w:val="20"/>
          <w:color w:val="auto"/>
        </w:rPr>
      </w:pPr>
    </w:p>
    <w:p>
      <w:pPr>
        <w:jc w:val="both"/>
        <w:ind w:left="660" w:hanging="328"/>
        <w:spacing w:after="0" w:line="253"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purchase contracts, when (a) the board of directors of the Company has taken all necessary corporate action to approve the purchase contract agreement to be entered into in connection with the issuance of any purchase contracts and such purchase contract agreement has been validly executed and delivered by the purchase contract agent and Company, (b) the board of directors of the Company has taken all necessary corporate action to approve the specific issuance and terms of any purchase contracts duly established in accordance with the applicable purchase contract agreement and (c) such purchase contracts have been duly executed, countersigned, registered, issued and delivered in accordance with the purchase contract agreement and the applicable definitive purchase, underwriting or similar agreement, as applicable, for the consideration therefor set forth in the applicable agreement and approved by the board of directors of the Company, such purchase contracts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warrants, when (a) the board of directors of the Company has taken all necessary corporate action to approve the warrant agreement to be entered into in connection with the issuance of any warrants and such warrant agreement has been validly executed and delivered by the warrant agent and Company, (b) the board of directors of the Company has taken all necessary corporate action to approve the specific issuance and terms of any warrants duly established in accordance with the applicable warrant agreement and (c) such warrants have been duly executed, countersigned, registered, issued and delivered in accordance with the warrant agreement and the applicable definitive purchase, underwriting or similar agreement, as applicable, for the consideration therefor set forth in the applicable agreement and approved by the board of directors of the Company (assuming the securities issuable upon exercise of the warrants have been duly authorized and reserved for issuance by all necessary corporate action and in accordance with applicable law), such warrants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of directors of the Company has taken all necessary corporate action to authorize the issuance and the specific terms of such subscription rights, the terms of the offering thereof, and related matters and (b) such subscription rights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328" w:hanging="328"/>
        <w:spacing w:after="0" w:line="253"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depositary shares, when (i) the board of directors of the Company has taken all necessary corporate action to approve the issuance and terms of the depositary shares, the terms of the offering thereof and related matters, including the adoption of a certificate of designation relating to the preferred stock underlying the depositary shares as required by applicable law and the filing of the certificate of designation with the Secretary of State of the State of Nevada as required by applicable law; (ii) the depositary agreement or agreements relating to the depositary shares and the related depositary receipts have been duly authorized and validly executed and delivered by the board of directors of the Company and the depositary appointed by the Company; (iii) the shares of preferred stock underlying the depositary shares have been duly authorized, validly issued and deposited with the depositary under the applicable depositary agreement; and (iv) the depositary receipts representing the depositary shares have been duly executed, countersigned, registered and delivered in accordance with the appropriate depositary agreement approved by the Company, upon payment of the consideration therefor provided for in the applicable definitive purchase, underwriting or similar agreement, the depositary shares will be legally issued and will entitle their holders to the rights specified in the deposit agreement and the depositary receipt.</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when (a) the board of directors of the Company has taken all necessary corporate action to approve an applicable indenture, if any, or any amendment or supplement thereto or other agreement in respect thereof, if any, and such indenture, if any, or any amendment or supplement thereto or other agreement in respect thereof, if any, has been validly executed and delivered by the Company, (b) any applicable indenture, if required, has been duly qualified under the Trust Indenture Act of 1939, as amended, if qualification is required thereunder, (c) the board of directors of the Company has taken all necessary corporate action to approve the specific issuance and terms of any series of debt security duly established in accordance with the applicable indenture, if any, and (d) such debt securities have been duly executed, countersigned, registered, issued and delivered either (i) in accordance with the indenture, if any, or any amendment or supplement thereto or other agreement in respect thereof, if any, the applicable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such debt securities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state law, (y) the validity, legally binding effect or enforceability of any provision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principle amount upon acceleration of the debt securities to the extent determined to constitute unearned interest.</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units, when (a) the board of directors of the Company has taken all necessary corporate action to approve the unit agreement, if any, to be entered into in connection with the issuance of any units and such unit agreement, if any, has been validly executed and delivered by the unit agent, if any, and Company, (b) the board of directors of the Company has taken all necessary corporate action to approve the specific issuance and terms of any units duly established in accordance with the applicable unit agreement, if any, and (c) such units have been duly executed, countersigned, registered, issued and delivered in accordance with the unit agreement, if any, and the applicable definitive purchase, underwriting or similar agreement, as applicable, for the consideration therefor set forth in the applicable agreement and approved by the board of directors of the Company,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additional assumptions:</w:t>
      </w:r>
    </w:p>
    <w:p>
      <w:pPr>
        <w:spacing w:after="0" w:line="225" w:lineRule="exact"/>
        <w:rPr>
          <w:sz w:val="20"/>
          <w:szCs w:val="20"/>
          <w:color w:val="auto"/>
        </w:rPr>
      </w:pPr>
    </w:p>
    <w:p>
      <w:pPr>
        <w:ind w:left="980" w:hanging="648"/>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any amendments thereto (including post-effective amendments), will have become effective under the Securities Act and such effectiveness shall not have been terminated, suspended or rescinded;</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Securities will be issued and sold in compliance with applicable federal and state securities laws, rules and regulations and solely in the manner provided in the Registration Statement and the appropriate Prospectus Supplement and there will not have occurred any change in law or fact affecting the validity of any of the opinions rendered herein;</w:t>
      </w:r>
    </w:p>
    <w:p>
      <w:pPr>
        <w:spacing w:after="0" w:line="202"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definitive purchase, underwriting or similar agreement and any other necessary agreements with respect to any Company Securities offered or issued will have been duly authorized and duly executed and delivered by the Company and the other parties thereto;</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terms of any of the Company Securities (including any Company Securities comprising the same or subject thereto), and when issued, the issuance, sale and delivery thereof by the Company, and the incurrence and performance of the Company’s obligations thereunder or respect thereof in accordance with the terms thereof, and any consideration received by the Company for any such issuance, sale and delivery, will comply with, and will not violate, the Articles of Incorporation or Bylaws or any applicable law, rule or regulation, or result in a default under or breach of any agreement or instrument binding upon the Company and will comply with any requirement or restriction imposed by any court or governmental body having jurisdiction over the Company or to which the issuance, sale and delivery of such Company Securities or the incurrence and performance of such obligations may be subject or violate any applicable public policy, or be subject to any defense in law or equity;</w:t>
      </w:r>
    </w:p>
    <w:p>
      <w:pPr>
        <w:spacing w:after="0" w:line="218" w:lineRule="exact"/>
        <w:rPr>
          <w:rFonts w:ascii="Times New Roman" w:cs="Times New Roman" w:eastAsia="Times New Roman" w:hAnsi="Times New Roman"/>
          <w:sz w:val="18"/>
          <w:szCs w:val="18"/>
          <w:color w:val="auto"/>
        </w:rPr>
      </w:pPr>
    </w:p>
    <w:p>
      <w:pPr>
        <w:jc w:val="both"/>
        <w:ind w:left="980" w:hanging="648"/>
        <w:spacing w:after="0" w:line="253"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taken any action required to be taken by the Company, based on the type of Company Security being offered, to authorize the offer and issuance thereof,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 the board of directors of the Company shall have duly established the terms of such Company Security and duly authorized and taken any other necessary corporate action to approve the issuance and sale of such Company Security in conformity with the Articles of Incorporation and Bylaws (subject to the further assumption that neither the Articles of Incorporation nor Bylaws have been amended from the date hereof in a manner that would affect the validity of any of the opinions rendered herein),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w:t>
      </w:r>
    </w:p>
    <w:p>
      <w:pPr>
        <w:spacing w:after="0" w:line="2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exist, under the Articles of Incorporation, the requisite number of authorized but unissued shares of Common Stock or Preferred Stock (and securities of any class into which any of the Preferred Stock may be convertible), as the case may be; and</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they purport to relate to liabilities resulting from or based upon gross negligence, recklessness or other conduct committed or omitted willfully or in bad faith or any violation of federal or state securities or blue sky laws, we express no opinions concerning the enforceability of indemnification provisions.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opinions above are subject to the effects of (i) bankruptcy, insolvency, fraudulent conveyance, fraudulent transfer, reorganization, receivership, moratorium and other similar laws relating to or affecting enforcement of creditors’ rights or remedies generally, (ii) general principles of equity, whether such principles are considered in a proceeding of law or at equity, and (iii) an implied covenant of good faith, reasonableness and fair dealing and standards of materiality.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under the caption “Legal Matters” in the Prospectus. In giving our consent, we do not thereby admit that we are experts with respect to any part of the Registration Statement, the Prospectus, or any Prospectus Supplement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Ellenoff Grossman &amp; Schole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THE MARKET OFFERING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Rodman &amp; Renshaw LLC</w:t>
      </w:r>
    </w:p>
    <w:p>
      <w:pPr>
        <w:spacing w:after="0" w:line="205" w:lineRule="auto"/>
        <w:rPr>
          <w:sz w:val="20"/>
          <w:szCs w:val="20"/>
          <w:color w:val="auto"/>
        </w:rPr>
      </w:pPr>
      <w:r>
        <w:rPr>
          <w:rFonts w:ascii="Times New Roman" w:cs="Times New Roman" w:eastAsia="Times New Roman" w:hAnsi="Times New Roman"/>
          <w:sz w:val="18"/>
          <w:szCs w:val="18"/>
          <w:color w:val="auto"/>
        </w:rPr>
        <w:t>600 Lexington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05" w:lineRule="auto"/>
        <w:rPr>
          <w:sz w:val="20"/>
          <w:szCs w:val="20"/>
          <w:color w:val="auto"/>
        </w:rPr>
      </w:pPr>
      <w:r>
        <w:rPr>
          <w:rFonts w:ascii="Times New Roman" w:cs="Times New Roman" w:eastAsia="Times New Roman" w:hAnsi="Times New Roman"/>
          <w:sz w:val="18"/>
          <w:szCs w:val="18"/>
          <w:color w:val="auto"/>
        </w:rPr>
        <w:t>430 Park Avenue,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Richtech Robotics Inc., a company incorporated under the laws of Nevada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Rodman &amp; Renshaw LLC and its successors and permitted assigns (“</w:t>
      </w:r>
      <w:r>
        <w:rPr>
          <w:rFonts w:ascii="Times New Roman" w:cs="Times New Roman" w:eastAsia="Times New Roman" w:hAnsi="Times New Roman"/>
          <w:sz w:val="18"/>
          <w:szCs w:val="18"/>
          <w:u w:val="single" w:color="auto"/>
          <w:color w:val="auto"/>
        </w:rPr>
        <w:t>Rodman</w:t>
      </w:r>
      <w:r>
        <w:rPr>
          <w:rFonts w:ascii="Times New Roman" w:cs="Times New Roman" w:eastAsia="Times New Roman" w:hAnsi="Times New Roman"/>
          <w:sz w:val="18"/>
          <w:szCs w:val="18"/>
          <w:color w:val="auto"/>
        </w:rPr>
        <w:t>”), which will serve as the lead agent, and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(each of Rodman and Wainwright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ind w:left="1300" w:right="1260" w:hanging="644"/>
        <w:spacing w:after="0" w:line="500" w:lineRule="auto"/>
        <w:tabs>
          <w:tab w:leader="none" w:pos="8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shall have the meaning ascribed to such term in Section 4(m).</w:t>
      </w:r>
    </w:p>
    <w:p>
      <w:pPr>
        <w:spacing w:after="0" w:line="1" w:lineRule="exact"/>
        <w:rPr>
          <w:rFonts w:ascii="Times New Roman" w:cs="Times New Roman" w:eastAsia="Times New Roman" w:hAnsi="Times New Roman"/>
          <w:sz w:val="18"/>
          <w:szCs w:val="18"/>
          <w:color w:val="auto"/>
        </w:rPr>
      </w:pPr>
    </w:p>
    <w:p>
      <w:pPr>
        <w:ind w:left="1300" w:right="4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3(p).</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to such term in Section 3(o).</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contained in the Registration Statement at the Effective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3(qq).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ascribed to such term in Section 2(b)(iii).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shall have the meaning ascribed to such term in Section 2(b)(v).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shall have the meaning ascribed to such term in Section 4(l).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Nevada Counsel</w:t>
      </w:r>
      <w:r>
        <w:rPr>
          <w:rFonts w:ascii="Times New Roman" w:cs="Times New Roman" w:eastAsia="Times New Roman" w:hAnsi="Times New Roman"/>
          <w:sz w:val="18"/>
          <w:szCs w:val="18"/>
          <w:color w:val="auto"/>
        </w:rPr>
        <w:t>” shall have the meaning ascribed to such term in Section 4(l).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shall have the meaning ascribed to such term in Section 3(g).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w:t>
      </w:r>
      <w:r>
        <w:rPr>
          <w:rFonts w:ascii="Times New Roman" w:cs="Times New Roman" w:eastAsia="Times New Roman" w:hAnsi="Times New Roman"/>
          <w:sz w:val="18"/>
          <w:szCs w:val="18"/>
          <w:color w:val="auto"/>
        </w:rPr>
        <w:t>” means the China Securities Regulatory Commission.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 Reports</w:t>
      </w:r>
      <w:r>
        <w:rPr>
          <w:rFonts w:ascii="Times New Roman" w:cs="Times New Roman" w:eastAsia="Times New Roman" w:hAnsi="Times New Roman"/>
          <w:sz w:val="18"/>
          <w:szCs w:val="18"/>
          <w:color w:val="auto"/>
        </w:rPr>
        <w:t>” shall have the meaning ascribed to such term in Section 4(z).</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Agent</w:t>
      </w:r>
      <w:r>
        <w:rPr>
          <w:rFonts w:ascii="Times New Roman" w:cs="Times New Roman" w:eastAsia="Times New Roman" w:hAnsi="Times New Roman"/>
          <w:sz w:val="18"/>
          <w:szCs w:val="18"/>
          <w:color w:val="auto"/>
        </w:rPr>
        <w:t>” shall have the meaning ascribed to such term in Section 2(b)(i).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have the meaning ascribed to such term in Section 2(b)(vii).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mean the first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shall have the meaning ascribed to such term in Section 3(uu).</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0" w:name="page101"/>
    <w:bookmarkEnd w:id="10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3(qq).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3(ee).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3(mm).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have the meaning ascribed to such term in Section 3(a).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ascribed to such term in Section 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3(rr).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have the meaning ascribed to such term in Section 2(b)(v).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shall have the meaning ascribed to such term in Section 4(g).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shall have the meaning ascribed to such term in Section 2(c).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have the meaning ascribed to such term in Section 3(b).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related to the Shares included in the Registration Statement at the Effective Time and any subsequently filed Prospectus Supplement.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prospectus relating to the Shares included in the Registration Statement at the Effective Time and any other prospectus supplement relating to the Shares prepared and filed pursuant to Rule 424(b)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automatic shelf registration statement on Form S-3 registering an indeterminate amount of securities of the Company to be filed on or about the Execution Time, including exhibits and financial statements filed with or incorporated by reference into such registration statement and any prospectus included in such Form S-3 or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shall have the meaning ascribed to such term in Section 4(k).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Act.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shall have the meaning ascribed to such term in Section 2(b)(i).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have the meaning ascribed to such term in Section 2(b)(vii).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ascribed to such term in Section 3(a).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shall have the meaning ascribed to such term in Section 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shall have the meaning ascribed to such term in Section 2(c).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Trial Measures</w:t>
      </w:r>
      <w:r>
        <w:rPr>
          <w:rFonts w:ascii="Times New Roman" w:cs="Times New Roman" w:eastAsia="Times New Roman" w:hAnsi="Times New Roman"/>
          <w:sz w:val="18"/>
          <w:szCs w:val="18"/>
          <w:color w:val="auto"/>
        </w:rPr>
        <w:t>” means the Trial Administrative Measures of Overseas Securities Offering and Listing by Domestic Companies – Announcement of the China Securities Regulatory Commission [2023] No. 43, released on February 17, 2023, and effective on March 31, 2023.</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Incorporated Document to be a part of or included in the Registration Statement or the Prospectus, as the case may be, as of any specified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firstLine="656"/>
        <w:spacing w:after="0" w:line="253" w:lineRule="auto"/>
        <w:tabs>
          <w:tab w:leader="none" w:pos="84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 The Company proposes to issue and sell through or to the Agents, as sales agent and/or principal, from time to time during the term of this Agreement and on the terms set forth herein, up such number of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B common stock, $0.0001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does not exceed the lesser of (a) $1,000,000,000 of shares of Common Stock,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Agents shall have no obligation in connection with such compliance, provided that the Agents follow the trading instructions provided by the Company pursuant to any Sales Notice (as defined below) in all material respects.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Agents as Selling Agents; Terms Agreement</w:t>
      </w:r>
      <w:r>
        <w:rPr>
          <w:rFonts w:ascii="Times New Roman" w:cs="Times New Roman" w:eastAsia="Times New Roman" w:hAnsi="Times New Roman"/>
          <w:sz w:val="18"/>
          <w:szCs w:val="18"/>
          <w:color w:val="auto"/>
        </w:rPr>
        <w:t>. For purposes of selling the Shares through the Agents, the Company hereby appoints the Agents as exclusive agents of the Company for the purpose of selling the Shares of the Company pursuant to this Agreement and each Agent, severally and not jointly with the other Agents, agrees to use its commercially reasonable efforts to sell the Shares on the terms and subject to the conditions stated herein. In using commercially reasonable efforts to sell Shares, as sales agent for the Company, each Agent will undertake such sales in a manner that is consistent with the customary market practices for similar transactions and in compliance with applicable laws and regulations. The Company agrees that the sales of Shares hereunder shall only be effected by or through one Agent on any single given Trading Day, and the Company shall not deliver a Sales Notice (as defined below) to more than one Agent on any single given Trading Day. The Company agrees that, whenever it determines to sell the Shares directly to an Agent as principal, the Company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relating to such sale in accordance with Section 2 of this Agreement.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Sales</w:t>
      </w:r>
      <w:r>
        <w:rPr>
          <w:rFonts w:ascii="Times New Roman" w:cs="Times New Roman" w:eastAsia="Times New Roman" w:hAnsi="Times New Roman"/>
          <w:sz w:val="18"/>
          <w:szCs w:val="18"/>
          <w:color w:val="auto"/>
        </w:rPr>
        <w:t>. Subject to the terms and conditions and in reliance upon the representations and warranties herein set forth, following the effectiveness of the Registration Statement, the Company will issue and agrees to sell Shares from time to time through an Agent, acting as sales agent, and each Agent, severally and not jointly with the other Agents, agrees to use its commercially reasonable efforts to sell, as sales agent for the Company, on the following terms: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65" w:val="left"/>
        </w:tabs>
        <w:numPr>
          <w:ilvl w:val="3"/>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on a daily basis or otherwise as shall be agreed to by the Company and Rodman (Rodman, or such other Agent selected by Rodman, acting as the “</w:t>
      </w:r>
      <w:r>
        <w:rPr>
          <w:rFonts w:ascii="Times New Roman" w:cs="Times New Roman" w:eastAsia="Times New Roman" w:hAnsi="Times New Roman"/>
          <w:sz w:val="18"/>
          <w:szCs w:val="18"/>
          <w:u w:val="single" w:color="auto"/>
          <w:color w:val="auto"/>
        </w:rPr>
        <w:t>Designated Agent</w:t>
      </w:r>
      <w:r>
        <w:rPr>
          <w:rFonts w:ascii="Times New Roman" w:cs="Times New Roman" w:eastAsia="Times New Roman" w:hAnsi="Times New Roman"/>
          <w:sz w:val="18"/>
          <w:szCs w:val="18"/>
          <w:color w:val="auto"/>
        </w:rPr>
        <w:t>”) on any day that (A) is a Trading Day, (B) the Company has instructed the Designated Agent by telephone (confirmed promptly by electronic mail) to make such sales (“</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and (C) the Company has satisfied its obligations under Section 6 of this Agreement. The Company will designate the maximum amount of the Shares to be sold by the Designated Agent daily (subject to the limitations set forth in Section 2(d)) and at the minimum price per Share at which such Shares may be sold. Subject to the terms and conditions hereof, the Designated Agent shall use its commercially reasonable efforts consistent with the customary market practices for similar transactions and in compliance with applicable laws and regulations to sell on a particular day all of the Shares designated for the sale by the Company on such day. The gross sales price of the Shares sold under this Section 2(b) shall be the market price for the shares of Common Stock sold by the Designated Agent under this Section 2(b) on the Trading Market at the time of sale of such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left="180" w:firstLine="652"/>
        <w:spacing w:after="0" w:line="255"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Designated Agent will be successful in selling the Shares, (B) the Designated Agent will incur no liability or obligation to the Company or any other person or entity if it does not sell the Shares for any reason other than a failure by the Designated Agent to use its commercially reasonable efforts consistent with the customary market practices for similar transactions and in compliance with applicable law and regulations to sell such Shares as required under this Agreement, and (C) the Designated Agent shall be under no obligation to purchase Shares on a principal basis pursuant to this Agreement, except as otherwise specifically agreed by the Designated Agent and the Company pursuant to a Terms Agreement.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the Designated Agent shall not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or such duly authorized officers of the Company, and notified to the Designated Agent in writing. The Company or the Designated Agent may, upon notice to the other parties to this Agreement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3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Agent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Designated Agent may also sell Shares (i) in privately negotiated transactions with the consent of the Company or (ii) in block transactions. Nothing in this Agreement shall be deemed to require either party to agree to the method of offer and sale specified in this Section 2(b)(iv), and (except as specified in clauses (i) and (ii) of the preceding sentence) the method of placement of any Shares by the Designated Agent shall be at the Designated Agent’s discretion; provided, however, that the method of offer and sale shall be consistent with the “Plan of Distribution” section of the Prospectus Supplement.</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Designated Agent for sales of the Shares under this Section 2(b) shall be a placement fee of 3.0% of the gross sales price of the Shares sold pursuant to this Section 2(b) (“</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The foregoing rate of compensation shall not apply when the Designated Agent acts as principal, in which case the Company may sell Shares to the Designated Agent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3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Agent shall provide written confirmation (which may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Designated Agent with respect to such sales.</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5" w:name="page106"/>
    <w:bookmarkEnd w:id="105"/>
    <w:p>
      <w:pPr>
        <w:jc w:val="both"/>
        <w:ind w:left="180" w:firstLine="652"/>
        <w:spacing w:after="0" w:line="252" w:lineRule="auto"/>
        <w:tabs>
          <w:tab w:leader="none" w:pos="11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between the Company and the Designated Agent, settlement for sales of the Shares will occur at 10:00 a.m. (New York City time) on the first (1st) Trading Day or any other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or before the Trading Day prior to each Settlement Date, the Company will, or will cause its transfer agent to, electronically transfer the Shares being sold by crediting the Designated Agent’s or its designee’s account (provided that the Designated Agent shall have given the Company written notice of such designee at least one Trading Day prior to the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Company and the Designated Agent which Shares in all cases shall be freely tradable, transferable, registered shares in good deliverable form. On each Settlement Date, the Designated Agent will deliver the related Net Proceeds in same day funds to an account designated by the Company. The Company agrees that, if the Company, or its transfer agent (if applicable), defaults in its obligation to deliver duly authorized Shares on a Settlement Date through no fault of the Designated Agent, in addition to and in no way limiting the rights and obligations set forth in Section 7 hereto, the Company will (i) hold the Designated Agent harmless against any loss, claim, damage, or reasonable, documented expense (including reasonable and documented legal fees and expenses), as incurred, arising out of or in connection with such default by the Company, and (ii) pay to the Designated Agent any commission, discount or other compensation to which the Designated Agent would otherwise have been entitled absent such default.</w:t>
      </w:r>
    </w:p>
    <w:p>
      <w:pPr>
        <w:spacing w:after="0" w:line="19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22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Designated Agent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6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in possession of material non-public information, the Company and the Agents agree to cooperate in good faith to determine whether sales of Shares may continue in compliance with applicable securities laws and the Company’s disclosure obligations. During such periods in which the Company is in possession of material non-public information, the Company and the Agents agree that (i) the Company may, at its sole discretion, elect to suspend sales, (ii) no sales of Shares will take place, (iii) the Company shall not request the sale of any Shares, and</w:t>
      </w:r>
    </w:p>
    <w:p>
      <w:pPr>
        <w:spacing w:after="0" w:line="3"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not be obligated to sell or offer to sell any Shares.</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6" w:name="page107"/>
    <w:bookmarkEnd w:id="106"/>
    <w:p>
      <w:pPr>
        <w:jc w:val="both"/>
        <w:ind w:left="180" w:firstLine="652"/>
        <w:spacing w:after="0" w:line="255" w:lineRule="auto"/>
        <w:tabs>
          <w:tab w:leader="none" w:pos="10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the record date for the determination of stockholders entitled to receive the Distribution,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Company hereby covenants that, in connection with any sales of Shares pursuant to a Sales Notice on the Record Date, the Company shall issue and deliver such Shares to the Agent on the Record Date and the Record Date shall be the Settlement Date and the Company shall cover any additional costs of the Agent in connection with the delivery of Shares on the Record Date.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Sales</w:t>
      </w:r>
      <w:r>
        <w:rPr>
          <w:rFonts w:ascii="Times New Roman" w:cs="Times New Roman" w:eastAsia="Times New Roman" w:hAnsi="Times New Roman"/>
          <w:sz w:val="18"/>
          <w:szCs w:val="18"/>
          <w:color w:val="auto"/>
        </w:rPr>
        <w:t>. If the Company wishes to sell the Shares pursuant to this Agreement in a manner other than as set forth in Section 2(b)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the Company will notify the Designated Agent of the proposed terms of such Placement. If the Designated Agent, acting as principal, wishes to accept such proposed terms (which it may decline to do for any reason in its sole discretion) or, following discussions with the Company wishes to accept amended terms, the Company and the Designated Agent will enter into a Terms Agreement setting forth the terms of such Placement. The terms set forth in a Terms Agreement will not be binding on the Company or the Designated Agent unless and until the Company and the Designated Agent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Designated Agent. The commitment of the Designated Agent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Designated Agent pursuant thereto, the price to be paid to the Company for such Shares, any provisions relating to rights of, and default by, underwriters acting together with the Designated Agent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Designated Agent.</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7" w:name="page108"/>
    <w:bookmarkEnd w:id="107"/>
    <w:p>
      <w:pPr>
        <w:jc w:val="both"/>
        <w:ind w:left="660" w:firstLine="644"/>
        <w:spacing w:after="0" w:line="254" w:lineRule="auto"/>
        <w:tabs>
          <w:tab w:leader="none" w:pos="157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 of Shares</w:t>
      </w:r>
      <w:r>
        <w:rPr>
          <w:rFonts w:ascii="Times New Roman" w:cs="Times New Roman" w:eastAsia="Times New Roman" w:hAnsi="Times New Roman"/>
          <w:sz w:val="18"/>
          <w:szCs w:val="18"/>
          <w:color w:val="auto"/>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committee, and notified to the Designated Agent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Designated Agent in writing. Further, under no circumstances shall the Company cause or permit the aggregate offering amount of Shares sold pursuant to this Agreement to exceed the Maximum Amount.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Notice</w:t>
      </w:r>
      <w:r>
        <w:rPr>
          <w:rFonts w:ascii="Times New Roman" w:cs="Times New Roman" w:eastAsia="Times New Roman" w:hAnsi="Times New Roman"/>
          <w:sz w:val="18"/>
          <w:szCs w:val="18"/>
          <w:color w:val="auto"/>
        </w:rPr>
        <w:t>. Unless the exceptive provisions set forth in Rule 101(c)(1) of Regulation M under the Exchange Act are satisfied with respect to the Shares, the Company shall give the Designated Agent at least one (1) Business Day’s prior notice of its intent to sell any Shares in order to allow the Designated Agent time to comply with Regulation M.</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Agent at the Execution Time and the Effective Time and on each such time that the following representations and warranties are repeated or deemed to be made pursuant to this Agreement, as set forth below, except as set forth in the Registration Statement, the Prospectus or the Incorporated Documents.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(individually,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the Company are set forth on Exhibit 21.1 to the Company’s most recent Annual Report on Form 10-K filed with the Commission. The Company owns, directly or indirectly, all of the capital stock or other equity interests of each Subsidiary free and clear of any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this Agreement (and in all documentation contemplated hereby or to be delivered pursuant hereto), shall be disregarded, and all provisions containing such references in this Agreement or such other documentation shall be read,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omit such references as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both"/>
        <w:ind w:left="-460" w:firstLine="644"/>
        <w:spacing w:after="0" w:line="252" w:lineRule="auto"/>
        <w:tabs>
          <w:tab w:leader="none" w:pos="4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and/or use its properties and assets and to carry on its business as currently conducted. Neither the Company nor any Subsidiary is in material violation or in material default of any of the provisions of its respective certificate or articles of incorporation, bylaws or other organizational or charter documents. Each of the Company and the Subsidiaries is duly qualified to conduct business and is in good standing in each applicable jurisdiction in which the nature of the business conducted or property owned or leased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9" w:name="page110"/>
    <w:bookmarkEnd w:id="109"/>
    <w:p>
      <w:pPr>
        <w:jc w:val="both"/>
        <w:ind w:left="-460" w:firstLine="644"/>
        <w:spacing w:after="0" w:line="253" w:lineRule="auto"/>
        <w:tabs>
          <w:tab w:leader="none" w:pos="44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notices and/or application(s) to and approval by the Trading Market for the listing of the Shares for trading thereon in the time and manner required thereby, and (iv) such filings as are required to be made under applicable federal or state securities laws and the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On or after the Effective Time, the issuance by the Company of the Shares has been registered under the Act and all of the Shares are freely transferable and tradable by the purchasers thereof without restriction (other than any restrictions arising solely from an act or omission of such a purchaser). On or after the Effective Time, the Shares are being issued pursuant to the Registration Statement and the issuance of the Shares has been registered by the Company under the Act.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0" w:name="page111"/>
    <w:bookmarkEnd w:id="110"/>
    <w:p>
      <w:pPr>
        <w:jc w:val="both"/>
        <w:ind w:left="-460" w:firstLine="644"/>
        <w:spacing w:after="0" w:line="251" w:lineRule="auto"/>
        <w:tabs>
          <w:tab w:leader="none" w:pos="4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Except as set forth in the SEC Reports, the Company has not issued any capital stock since its most recently filed periodic report under the Exchange Act, other than pursuant to the exercise of employee equity awards under the Company’s employee equity award plans, the issuance of shares of Common Stock to employees pursuant to the Company’s employee equity award plans and pursuant to the conversion and/or exercise of securities exercisable, exchangeable or convertible into Common Stock (“</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meets the requirements for use of Form S-3 under the Act and has prepared and will file on or immediately following the Execution Time with the Commission the Registration Statement, including the Base Prospectus and the Prospectus, for registration under the Act of the offering and sale of the Shares. Upon filing with the Commission at the Effective Time, such Registration Statement shall be effective and available for the offer and sale of the Shares as of the date hereof. As filed, the Base Prospectus contains all information required by the Act and the rules thereunder and, except to the extent the Agents shall agree in writing to a modification, shall be in all substantive respects in the form furnished to the Agents prior to the Execution Time or prior to any such time this representation is repeated or deemed to be made. The Registration Statement, when filed on or immediately following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Registration Statement will not, as of the Execution Time and the Effective Date, contain an untrue statement of a material fact or omit to state a material fact required to be stated therein or necessary to make the statements therein not misleading.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months prior to this offering.</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1" w:name="page112"/>
    <w:bookmarkEnd w:id="111"/>
    <w:p>
      <w:pPr>
        <w:jc w:val="both"/>
        <w:ind w:left="-460" w:firstLine="644"/>
        <w:spacing w:after="0" w:line="254" w:lineRule="auto"/>
        <w:tabs>
          <w:tab w:leader="none" w:pos="4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Incorporated Documents</w:t>
      </w:r>
      <w:r>
        <w:rPr>
          <w:rFonts w:ascii="Times New Roman" w:cs="Times New Roman" w:eastAsia="Times New Roman" w:hAnsi="Times New Roman"/>
          <w:sz w:val="18"/>
          <w:szCs w:val="18"/>
          <w:color w:val="auto"/>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Agents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Agents, prepare, use or refer to, any Issuer Free Writing Prospectuses.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2" w:name="page113"/>
    <w:bookmarkEnd w:id="112"/>
    <w:p>
      <w:pPr>
        <w:jc w:val="both"/>
        <w:ind w:left="-460" w:firstLine="644"/>
        <w:spacing w:after="0" w:line="258" w:lineRule="auto"/>
        <w:tabs>
          <w:tab w:leader="none" w:pos="4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Related to Registration Statement</w:t>
      </w:r>
      <w:r>
        <w:rPr>
          <w:rFonts w:ascii="Times New Roman" w:cs="Times New Roman" w:eastAsia="Times New Roman" w:hAnsi="Times New Roman"/>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to the knowledge of the Company, intends or has threatened in writing to do so.</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Base Prospectus, any Prospectus Supplement or the Prospectus.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0"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3" w:name="page114"/>
    <w:bookmarkEnd w:id="113"/>
    <w:p>
      <w:pPr>
        <w:jc w:val="both"/>
        <w:ind w:left="-460" w:firstLine="644"/>
        <w:spacing w:after="0" w:line="252"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award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this Agreement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including the People's Republic of China Labor Law, the Social Insurance Law of the People's Republic of China, and any related or similar rules, regulations or guidelines,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4" w:name="page115"/>
    <w:bookmarkEnd w:id="114"/>
    <w:p>
      <w:pPr>
        <w:jc w:val="both"/>
        <w:ind w:left="-460" w:firstLine="644"/>
        <w:spacing w:after="0" w:line="254" w:lineRule="auto"/>
        <w:tabs>
          <w:tab w:leader="none" w:pos="4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law, regulation,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2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5" w:name="page116"/>
    <w:bookmarkEnd w:id="115"/>
    <w:p>
      <w:pPr>
        <w:jc w:val="both"/>
        <w:ind w:left="-460" w:firstLine="644"/>
        <w:spacing w:after="0" w:line="255" w:lineRule="auto"/>
        <w:tabs>
          <w:tab w:leader="none" w:pos="4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if any,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6" w:name="page117"/>
    <w:bookmarkEnd w:id="116"/>
    <w:p>
      <w:pPr>
        <w:jc w:val="both"/>
        <w:ind w:left="-460" w:firstLine="644"/>
        <w:spacing w:after="0" w:line="258" w:lineRule="auto"/>
        <w:tabs>
          <w:tab w:leader="none" w:pos="4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equity award agreements under any equity award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 Oxley Compliance</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and the disclosure controls and procedures are effective in all material respects to perform the functions for which they were established.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7" w:name="page118"/>
    <w:bookmarkEnd w:id="117"/>
    <w:p>
      <w:pPr>
        <w:jc w:val="both"/>
        <w:ind w:left="-460" w:firstLine="644"/>
        <w:spacing w:after="0" w:line="258" w:lineRule="auto"/>
        <w:tabs>
          <w:tab w:leader="none" w:pos="4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Other than payments to be made to the Agents, no brokerage or finder’s fees or commissions are or will be payable by the Company or any Subsidiary to any broker, financial advisor or consultant, finder, placement agent, investment banker, bank or other Person with respect to the transactions contemplated by this Agreement. The Agents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83" w:lineRule="exact"/>
        <w:rPr>
          <w:sz w:val="20"/>
          <w:szCs w:val="20"/>
          <w:color w:val="auto"/>
        </w:rPr>
      </w:pPr>
    </w:p>
    <w:p>
      <w:pPr>
        <w:ind w:left="-460" w:firstLine="644"/>
        <w:spacing w:after="0" w:line="282" w:lineRule="auto"/>
        <w:tabs>
          <w:tab w:leader="none" w:pos="5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Sales Agency Agreement</w:t>
      </w:r>
      <w:r>
        <w:rPr>
          <w:rFonts w:ascii="Times New Roman" w:cs="Times New Roman" w:eastAsia="Times New Roman" w:hAnsi="Times New Roman"/>
          <w:sz w:val="18"/>
          <w:szCs w:val="18"/>
          <w:color w:val="auto"/>
        </w:rPr>
        <w:t>. The Company has not entered into any other sales agency agreements or other similar arrangements with any agent or any other representative in respect of at the market offerings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3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Except as set forth in the SEC Reports, the Company is, and has no reason to believe that it will not in the foreseeable future continue to be, in compliance with all such listing and maintenance requirements. The Common Stock is currently eligible for electronic transfer through DTC or another established clearing corporation and the Company is current in payment of the fees to DTC (or such other established clearing corporation) in connection with such electronic transfer.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8" w:name="page119"/>
    <w:bookmarkEnd w:id="118"/>
    <w:p>
      <w:pPr>
        <w:jc w:val="both"/>
        <w:ind w:left="4" w:firstLine="644"/>
        <w:spacing w:after="0" w:line="252" w:lineRule="auto"/>
        <w:tabs>
          <w:tab w:leader="none" w:pos="99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tax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9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9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Each of the Company’s accounting firms is set forth in the SEC Reports. To the knowledge and belief of the Company, each such accounting firm (i) is a registered public accounting firm as required by the Exchange Act and the rules of the Public Company Accounting Oversight Board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has expressed its opinion with respect to the financial statements included in the Company’s Annual Report for the fiscal year ended September 30, 2024, and shall express its opinion with respect to the financial statements to be included in the Company’s Annual Report for the fiscal year ending September 30, 2025, (iii) is in compliance with the applicable requirements relating to the qualification of accountants under Rule 2-01 of Regulation S-X under the Act and (iv) a registered public accounting firm as defined by PCAOB whose registration has not been suspended or revoked and who has not requested such registration to be withdrawn.</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19" w:name="page120"/>
    <w:bookmarkEnd w:id="119"/>
    <w:p>
      <w:pPr>
        <w:jc w:val="both"/>
        <w:ind w:left="-460" w:firstLine="644"/>
        <w:spacing w:after="0" w:line="258" w:lineRule="auto"/>
        <w:tabs>
          <w:tab w:leader="none" w:pos="4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Agents in connection with the Shares.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Suppliers, Customers and Distributors</w:t>
      </w:r>
      <w:r>
        <w:rPr>
          <w:rFonts w:ascii="Times New Roman" w:cs="Times New Roman" w:eastAsia="Times New Roman" w:hAnsi="Times New Roman"/>
          <w:sz w:val="18"/>
          <w:szCs w:val="18"/>
          <w:color w:val="auto"/>
        </w:rPr>
        <w:t>. No supplier, customer or distributor of the Company has notified the Company that it intends to discontinue or decrease the rate of business done with the Company, except where such discontinuation or decrease has not resulted in and could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Registration Statement and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 Plans</w:t>
      </w:r>
      <w:r>
        <w:rPr>
          <w:rFonts w:ascii="Times New Roman" w:cs="Times New Roman" w:eastAsia="Times New Roman" w:hAnsi="Times New Roman"/>
          <w:sz w:val="18"/>
          <w:szCs w:val="18"/>
          <w:color w:val="auto"/>
        </w:rPr>
        <w:t>. Each equity award granted by the Company under the Company’s equity award plan was granted (i) in accordance with the terms of the Company’s equity award plan and (ii) with an exercise price at least equal to the fair market value of the Common Stock on the date such equity award would be considered granted under GAAP and applicable law. No equity award granted under the Company’s equity award plan has been backdated. The Company has not knowingly granted, and there is no and has been no Company policy or practice to knowingly grant, equity awards prior to, or otherwise knowingly coordinate the grant of equity awards with, the release or other public announcement of material information regarding the Company or its Subsidiaries or their financial results or prospects.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0" w:name="page121"/>
    <w:bookmarkEnd w:id="120"/>
    <w:p>
      <w:pPr>
        <w:jc w:val="both"/>
        <w:ind w:left="4" w:firstLine="644"/>
        <w:spacing w:after="0" w:line="253" w:lineRule="auto"/>
        <w:tabs>
          <w:tab w:leader="none" w:pos="11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9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9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the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of Sanctions or (ii) in any other manner that will result in a violation of Sanctions by any Person (including any Person participating in the transactions contemplated hereby, whether as underwriter, advisor, investor or otherwise). For the past five years, neither the Company nor any of its Subsidiaries has knowingly engaged in, and is not now knowingly engaged in, any dealings or transactions with any Person, or in any country or territory, that at the time of the dealing or transaction is or was the subject of Sanctions.</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21" w:name="page122"/>
    <w:bookmarkEnd w:id="121"/>
    <w:p>
      <w:pPr>
        <w:ind w:left="-460" w:right="20" w:firstLine="644"/>
        <w:spacing w:after="0" w:line="282" w:lineRule="auto"/>
        <w:tabs>
          <w:tab w:leader="none" w:pos="53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the Agents’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9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Member Shareholders</w:t>
      </w:r>
      <w:r>
        <w:rPr>
          <w:rFonts w:ascii="Times New Roman" w:cs="Times New Roman" w:eastAsia="Times New Roman" w:hAnsi="Times New Roman"/>
          <w:sz w:val="18"/>
          <w:szCs w:val="18"/>
          <w:color w:val="auto"/>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has been and is an “emerging growth company” as defined in Section 2(a) of the Securities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2" w:name="page123"/>
    <w:bookmarkEnd w:id="122"/>
    <w:p>
      <w:pPr>
        <w:ind w:left="4" w:firstLine="644"/>
        <w:spacing w:after="0" w:line="282" w:lineRule="auto"/>
        <w:tabs>
          <w:tab w:leader="none" w:pos="99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CSRC Submissions</w:t>
      </w:r>
      <w:r>
        <w:rPr>
          <w:rFonts w:ascii="Times New Roman" w:cs="Times New Roman" w:eastAsia="Times New Roman" w:hAnsi="Times New Roman"/>
          <w:sz w:val="18"/>
          <w:szCs w:val="18"/>
          <w:color w:val="auto"/>
        </w:rPr>
        <w:t>. The Company is not required to file or submit any reports, schedules, forms, statements and other documents required to be filed by the Trial Measures and corresponding guidance letters with respect to the transactions contemplated in this Agreement.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07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a Well-Known Seasoned Issuer</w:t>
      </w:r>
      <w:r>
        <w:rPr>
          <w:rFonts w:ascii="Times New Roman" w:cs="Times New Roman" w:eastAsia="Times New Roman" w:hAnsi="Times New Roman"/>
          <w:sz w:val="18"/>
          <w:szCs w:val="18"/>
          <w:color w:val="auto"/>
        </w:rPr>
        <w:t>. (i) At the time of filing the Registration Statement, (ii) at the time the Company or any person acting on its behalf (within the meaning, for this clause only, of Rule 163(c) of the Act) made any offer relating to the Shares in reliance on the exemption of Rule 163 of the Act and (iii) at the date hereof, the Company was and is a “well-known seasoned issuer” as defined in Rule 405 of the Act, including not having been and not being an “ineligible issuer” as defined in Rule 405. The Registration Statement is an “automatic shelf registration statement,” as defined in Rule 405, and the Shares, since their registration on the Registration Statement, are and will remain eligible for registration by the Company on a Rule 405 “automatic shelf registration statement”. The Company has not received from the Commission any notice pursuant to Rule 401(g)(2) of the Act objecting to the use of the automatic shelf registration statement form.</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each Agent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89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Review Amendments and Supplements to Registration Statement and Prospectus</w:t>
      </w:r>
      <w:r>
        <w:rPr>
          <w:rFonts w:ascii="Times New Roman" w:cs="Times New Roman" w:eastAsia="Times New Roman" w:hAnsi="Times New Roman"/>
          <w:sz w:val="17"/>
          <w:szCs w:val="17"/>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Agents a copy for their review prior to filing and will not file any such proposed amendment or supplement to which the Agents reasonably object. The Company will cause any supplement to the Prospectus filed after the Effective Time to be properly completed, in a form approved by the Agents, and will file such supplement with the Commission pursuant to the applicable paragraph of Rule 424(b) within the time period prescribed thereby and will provide evidence reasonably satisfactory to the Agents of such timely filing. The Company will promptly advise the Agents</w:t>
      </w:r>
    </w:p>
    <w:p>
      <w:pPr>
        <w:jc w:val="both"/>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23" w:name="page124"/>
    <w:bookmarkEnd w:id="123"/>
    <w:p>
      <w:pPr>
        <w:jc w:val="both"/>
        <w:ind w:left="4" w:firstLine="644"/>
        <w:spacing w:after="0" w:line="254" w:lineRule="auto"/>
        <w:tabs>
          <w:tab w:leader="none" w:pos="90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Agents so that any use of the Registration Statement or Prospectus may cease until such are amended or supplemented; (ii) amend or supplement the Registration Statement or Prospectus to correct such statement or omission; and</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such amendment or supplement to the Agents in such quantities as the Agents may reasonably request.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Subsequent Filings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3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Agents of any such event, (ii) subject to Section 4(a),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Agents in such quantities as the Agents may reasonably request.</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0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Statements</w:t>
      </w:r>
      <w:r>
        <w:rPr>
          <w:rFonts w:ascii="Times New Roman" w:cs="Times New Roman" w:eastAsia="Times New Roman" w:hAnsi="Times New Roman"/>
          <w:sz w:val="18"/>
          <w:szCs w:val="18"/>
          <w:color w:val="auto"/>
        </w:rPr>
        <w:t>. As soon as practicable, the Company will make generally available to its security holders and to the Agents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24" w:name="page125"/>
    <w:bookmarkEnd w:id="124"/>
    <w:p>
      <w:pPr>
        <w:jc w:val="both"/>
        <w:ind w:left="-460" w:firstLine="644"/>
        <w:spacing w:after="0" w:line="258" w:lineRule="auto"/>
        <w:tabs>
          <w:tab w:leader="none" w:pos="4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w:t>
      </w:r>
      <w:r>
        <w:rPr>
          <w:rFonts w:ascii="Times New Roman" w:cs="Times New Roman" w:eastAsia="Times New Roman" w:hAnsi="Times New Roman"/>
          <w:sz w:val="18"/>
          <w:szCs w:val="18"/>
          <w:color w:val="auto"/>
        </w:rPr>
        <w:t>. Upon the request of the Agents, the Company will furnish to the Agents and counsel for the Agents, without charge, signed copies of the Registration Statement (including exhibits thereto) and, so long as delivery of a prospectus by the Agents or dealer may be required by the Act (including in circumstances where such requirement may be satisfied pursuant to Rule 172, 173 or any similar rule), as many copies of the Prospectus and each Issuer Free Writing Prospectus and any supplement thereto as the Agents may reasonably request. The Company will pay the expenses of printing or other production of all documents relating to the offering.</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 of Shares</w:t>
      </w:r>
      <w:r>
        <w:rPr>
          <w:rFonts w:ascii="Times New Roman" w:cs="Times New Roman" w:eastAsia="Times New Roman" w:hAnsi="Times New Roman"/>
          <w:sz w:val="18"/>
          <w:szCs w:val="18"/>
          <w:color w:val="auto"/>
        </w:rPr>
        <w:t>. The Company will arrange, if necessary, for the qualification of the Shares for sale under the laws of such jurisdictions as the Agents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agrees that, unless it has or shall have obtained the prior written consent of the Agents, and each Agent agrees with the Company that, unless it has or shall have obtained, as the case may be, the prior written consent of the Company and the Agents, an Agent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Agents and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Issuances</w:t>
      </w:r>
      <w:r>
        <w:rPr>
          <w:rFonts w:ascii="Times New Roman" w:cs="Times New Roman" w:eastAsia="Times New Roman" w:hAnsi="Times New Roman"/>
          <w:sz w:val="18"/>
          <w:szCs w:val="18"/>
          <w:color w:val="auto"/>
        </w:rPr>
        <w:t>. The Company shall not deliver any Sales Notice hereunder (and any Sales Notice previously delivered shall not apply during such three (3) Business Days) for at least three (3) Business Days prior to any date on which the Company or any Subsidiary offers, sells, issues, contracts to sell, contracts to issue or otherwise disposes of, directly or indirectly, any other shares of Common Stock or any Common Stock Equivalents (other than the Shares), subject to the Designated Agent’s right to waive this obligation, provided that, without compliance with the foregoing obligation, the Company may issue and sell Common Stock pursuant to any employee equity plan, stock ownership plan or dividend reinvestment plan of the Company in effect at the Execution Time or at the time of the respective Sales Notice and the Company may issue Common Stock issuable upon the conversion or exercise of Common Stock Equivalents outstanding at the Execution Time or at the time of the respective Sales Notice.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5" w:name="page126"/>
    <w:bookmarkEnd w:id="125"/>
    <w:p>
      <w:pPr>
        <w:jc w:val="both"/>
        <w:ind w:left="-460" w:firstLine="644"/>
        <w:spacing w:after="0" w:line="261" w:lineRule="auto"/>
        <w:tabs>
          <w:tab w:leader="none" w:pos="40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Manipulation</w:t>
      </w:r>
      <w:r>
        <w:rPr>
          <w:rFonts w:ascii="Times New Roman" w:cs="Times New Roman" w:eastAsia="Times New Roman" w:hAnsi="Times New Roman"/>
          <w:sz w:val="18"/>
          <w:szCs w:val="18"/>
          <w:color w:val="auto"/>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Incorrect Certificate</w:t>
      </w:r>
      <w:r>
        <w:rPr>
          <w:rFonts w:ascii="Times New Roman" w:cs="Times New Roman" w:eastAsia="Times New Roman" w:hAnsi="Times New Roman"/>
          <w:sz w:val="18"/>
          <w:szCs w:val="18"/>
          <w:color w:val="auto"/>
        </w:rPr>
        <w:t>. The Company will, at any time during the term of this Agreement, as supplemented from time to time, advise the Agents immediately after it shall have received notice or obtained knowledge thereof, of any information or fact that would alter or affect any opinion, certificate, letter and other document provided to the Agents pursuant to Section 6 herein.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Accuracy of Disclosure</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thirty (30) Trading Days), and each time that (i) the Registration Statement or Prospectus shall be amended or supplemented, other than by means of Incorporated Documents, (ii) the Company files its Annual Report on Form 10-K under the Exchange Act, (iii) the Company files its quarterly reports on Form 10-Q under the Exchange Act, (iv) the Company files a Current Report on Form 8-K containing amended financial information (other than information that is furnished and not filed), if the Agents reasonably determine that the information in such Form 8-K is material, or (v) the Shares are delivered to the Designated Agent as principal at the Time of Delivery pursuant to a Terms Agreement (such commencement or recommencement date and each such date referred to in (i), (ii), (iii), (iv) and (v)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unless waived by the Agents, the Company shall furnish or cause to be furnished to the Agents promptly a certificate dated and delivered on the Representation Date, in form and substance reasonably satisfactory to the Agents to the effect that the statements contained in the certificate referred to in Section 6 of this Agreement which were last furnished to the Agents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The requirement to provide a certificate under this Section 4(k) shall be waived for any Representation Date occurring at a time at which no Sales Notice is pending, which waiver shall continue until the earlier to occur of the date the Company delivers a Sales Notice hereunder (which for such calendar quarter shall be considered a Representation Date) and the next occurring Representation Date on which the Company files its Annual Report on Form 10-K. Notwithstanding the foregoing, if the Company subsequently decides to sell Shares following a Representation Date when the Company relied on such waiver and did not provide the Agents with a certificate under this Section 4(k), then before the Company delivers a Sales Notice hereunder, the Company shall provide the Agents with such a certificate, dated the date of the Sales Notice.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6" w:name="page127"/>
    <w:bookmarkEnd w:id="126"/>
    <w:p>
      <w:pPr>
        <w:jc w:val="both"/>
        <w:ind w:left="-460" w:firstLine="644"/>
        <w:spacing w:after="0" w:line="252" w:lineRule="auto"/>
        <w:tabs>
          <w:tab w:leader="none" w:pos="40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Opinions; Negative Assurance</w:t>
      </w:r>
      <w:r>
        <w:rPr>
          <w:rFonts w:ascii="Times New Roman" w:cs="Times New Roman" w:eastAsia="Times New Roman" w:hAnsi="Times New Roman"/>
          <w:sz w:val="18"/>
          <w:szCs w:val="18"/>
          <w:color w:val="auto"/>
        </w:rPr>
        <w:t>. At each Representation Date, unless waived by the Agents, the Company shall furnish or cause to be furnished forthwith to the Agents and to counsel to the Agents (i) a written opinion of Nevada counsel to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Nevada Counsel</w:t>
      </w:r>
      <w:r>
        <w:rPr>
          <w:rFonts w:ascii="Times New Roman" w:cs="Times New Roman" w:eastAsia="Times New Roman" w:hAnsi="Times New Roman"/>
          <w:sz w:val="18"/>
          <w:szCs w:val="18"/>
          <w:color w:val="auto"/>
        </w:rPr>
        <w:t>”) and (ii) a written opinion of corporate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addressed to the Agents and dated and delivered on such Representation Date, in form and substance reasonably satisfactory to the Agents, including a negative assurance representation. The requirement to furnish or cause to be furnished opinions (but not with respect to a negative assurance representation) under this Section 4(l) shall be waived for any Representation Date other than a Representation Date on which a new Registration Statement is filed and declared effective by the Commission or a material amendment to the Registration Statement or Prospectus is made or the Company files its Annual Report on Form 10-K or a material amendment thereto under the Exchange Act, unless the Agents reasonably request such deliverables required by this Section 4(l) in connection with a Representation Date, upon which request such deliverables shall be deliverable hereunder. The requirement to furnish or cause to be furnished opinions or negative assurance representation under this Section 4(l) shall be waived for any Representation Date occurring at a time at which no Sales Notice is pending, which waiver shall continue until the earlier to occur of the date the Company delivers a Sales Notice hereunder (which for such calendar quarter shall be considered a Representation Date) and the next occurring Representation Date on which the Company files its Annual Report on Form 10-K. Notwithstanding the foregoing, if the Company subsequently decides to sell Shares following a Representation Date when the Company relied on such waiver and did not provide the Agents with opinions and a negative assurance representation under this Section 4(l), then before the Company delivers a Sales Notice hereunder, the Company shall provide the Agents with such opinions and negative assurance, dated the date of the Sales Notice.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9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 Bring Down “Comfort” Letter</w:t>
      </w:r>
      <w:r>
        <w:rPr>
          <w:rFonts w:ascii="Times New Roman" w:cs="Times New Roman" w:eastAsia="Times New Roman" w:hAnsi="Times New Roman"/>
          <w:sz w:val="18"/>
          <w:szCs w:val="18"/>
          <w:color w:val="auto"/>
        </w:rPr>
        <w:t>. At each Representation Date, unless waived by the Agents, the Company shall cause (1) the Company’s auditors or other independent accountants satisfactory to the Agents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to furnish the Agents a letter, and (2) the Chief Financial Officer of the Company forthwith to furnish the Agents a certificate, in each case dated on such Representation Date, in form and substance reasonably satisfactory to the Agents, of the same tenor as the 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(but not with respect to a certificate furnished by the Chief Financial Officer of the Company) under this Section 4(m) shall be waived for any Representation Date other than a Representation Date on which a new Registration Statement is filed and declared effective by the Commission or a material amendment to the Registration Statement or Prospectus is made or the Company files its Annual Report on Form 10-K or a material amendment thereto under the Exchange Act, unless the Manager reasonably requests the deliverables required by this Section 4(m) in connection with a Representation Date, upon which request such deliverable shall be deliverable hereunder. Notwithstanding the foregoing, the requirement to deliver or cause to be delivered one or more letters or certificates under this Section 4(m) shall, at the request of the Company, be waived for any Representation Date occurring at a time at which no Sales Notice is pending, which waiver shall continue until the earlier to occur of the date the Company delivers a Sales Notice hereunder (which for such calendar quarter shall be considered a Representation Date) and the next occurring Representation Date on which the Company files its annual report on Form 10-K. Notwithstanding the foregoing, if the Company subsequently decides to sell Shares following a Representation Date when the Company relied on such waiver and did not provide the Agents with a letter or certificate under this Section 4(m), then before the Company delivers a Sales Notice hereunder, the Company shall provide the Agents with such letter and certificate, dated the date of the Sales Notice.</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7" w:name="page128"/>
    <w:bookmarkEnd w:id="127"/>
    <w:p>
      <w:pPr>
        <w:jc w:val="both"/>
        <w:ind w:left="-460" w:firstLine="644"/>
        <w:spacing w:after="0" w:line="253" w:lineRule="auto"/>
        <w:tabs>
          <w:tab w:leader="none" w:pos="4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Session</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thirty (30) Trading Days), and at each Representation Date, the Company will conduct a due diligence session, in form and substance reasonably satisfactory to the Agents, which shall include representatives of management and Accountants. The Company shall cooperate timely with any reasonable due diligence request from or review conducted by the Agents or their respective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Agents may reasonably request. The Company shall reimburse Rodman for the counsel fees to the Agents in each such due diligence update session, up to a maximum of $12,500, $5,000 and $2,500 per update for which the Company is obligated to deliver a certification pursuant to clause (i) of Section 4(k), clause (ii) of Section 4(k) and clause (iii) of Section 4(k), respectively, for which no waiver is applicable, plus any incidental expense incurred in connection therewith.</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312" w:lineRule="auto"/>
        <w:tabs>
          <w:tab w:leader="none" w:pos="443"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of Trading</w:t>
      </w:r>
      <w:r>
        <w:rPr>
          <w:rFonts w:ascii="Times New Roman" w:cs="Times New Roman" w:eastAsia="Times New Roman" w:hAnsi="Times New Roman"/>
          <w:sz w:val="17"/>
          <w:szCs w:val="17"/>
          <w:color w:val="auto"/>
        </w:rPr>
        <w:t>. The Company consents to the Agents trading in the Common Stock for each Agent’s own account and for the account of such Agent’s clients at the same time as sales of the Shares occur pursuant to this Agreement or pursuant to a Terms Agreement.</w:t>
      </w:r>
    </w:p>
    <w:p>
      <w:pPr>
        <w:spacing w:after="0" w:line="139" w:lineRule="exact"/>
        <w:rPr>
          <w:rFonts w:ascii="Times New Roman" w:cs="Times New Roman" w:eastAsia="Times New Roman" w:hAnsi="Times New Roman"/>
          <w:sz w:val="17"/>
          <w:szCs w:val="17"/>
          <w:color w:val="auto"/>
        </w:rPr>
      </w:pPr>
    </w:p>
    <w:p>
      <w:pPr>
        <w:jc w:val="both"/>
        <w:ind w:left="-460" w:firstLine="644"/>
        <w:spacing w:after="0" w:line="261" w:lineRule="auto"/>
        <w:tabs>
          <w:tab w:leader="none" w:pos="4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Shares Sold</w:t>
      </w:r>
      <w:r>
        <w:rPr>
          <w:rFonts w:ascii="Times New Roman" w:cs="Times New Roman" w:eastAsia="Times New Roman" w:hAnsi="Times New Roman"/>
          <w:sz w:val="18"/>
          <w:szCs w:val="18"/>
          <w:color w:val="auto"/>
        </w:rPr>
        <w:t>. The Company will disclose in its Annual Reports on Form 10-K and Quarterly Reports on Form 10-Q, as applicable, the number of Shares sold through the Agents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w:t>
      </w:r>
      <w:r>
        <w:rPr>
          <w:rFonts w:ascii="Times New Roman" w:cs="Times New Roman" w:eastAsia="Times New Roman" w:hAnsi="Times New Roman"/>
          <w:sz w:val="18"/>
          <w:szCs w:val="18"/>
          <w:color w:val="auto"/>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Designated Agent the right to refuse to purchase and pay for such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of Representations and Warranties</w:t>
      </w:r>
      <w:r>
        <w:rPr>
          <w:rFonts w:ascii="Times New Roman" w:cs="Times New Roman" w:eastAsia="Times New Roman" w:hAnsi="Times New Roman"/>
          <w:sz w:val="18"/>
          <w:szCs w:val="18"/>
          <w:color w:val="auto"/>
        </w:rPr>
        <w:t>. Each acceptance by the Company of an offer to purchase the Shares hereunder, and each execution and delivery by the Company of a Terms Agreement, shall be deemed to be an affirmation to each Agent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8" w:name="page129"/>
    <w:bookmarkEnd w:id="128"/>
    <w:p>
      <w:pPr>
        <w:jc w:val="both"/>
        <w:ind w:left="-460" w:firstLine="644"/>
        <w:spacing w:after="0" w:line="261" w:lineRule="auto"/>
        <w:tabs>
          <w:tab w:leader="none" w:pos="4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Under Exchange Act</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Facility</w:t>
      </w:r>
      <w:r>
        <w:rPr>
          <w:rFonts w:ascii="Times New Roman" w:cs="Times New Roman" w:eastAsia="Times New Roman" w:hAnsi="Times New Roman"/>
          <w:sz w:val="18"/>
          <w:szCs w:val="18"/>
          <w:color w:val="auto"/>
        </w:rPr>
        <w:t>. The Company shall cooperate with the Agents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Shares in the manner set forth in the Prospectus. Except for the Broker Fee, the Company shall not use the Net Proceeds from the sale of the Shares to be paid to any FINRA member, any person associated with a FINRA member or any affiliate of a FINRA member.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Prospectus Supplement</w:t>
      </w:r>
      <w:r>
        <w:rPr>
          <w:rFonts w:ascii="Times New Roman" w:cs="Times New Roman" w:eastAsia="Times New Roman" w:hAnsi="Times New Roman"/>
          <w:sz w:val="18"/>
          <w:szCs w:val="18"/>
          <w:color w:val="auto"/>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Agents’ compensation, and such other information as may be required pursuant to Rule 424 and Rule 430B, as applicable, within the time required by Rule 424.</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w:t>
      </w:r>
      <w:r>
        <w:rPr>
          <w:rFonts w:ascii="Times New Roman" w:cs="Times New Roman" w:eastAsia="Times New Roman" w:hAnsi="Times New Roman"/>
          <w:sz w:val="18"/>
          <w:szCs w:val="18"/>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included in this Agreement shall be deemed to include such new registration statement, including all documents incorporated by reference therein pursuant to Item 12 of Form S-3, and all references to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Agents if the Company ceases to be an Emerging Growth Company at any time prior to the later of (i) the sale of all Shares provided for in the Prospectus and (ii) the termination of this Agreement in accordance with Section 8 herein.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CSRC Filing</w:t>
      </w:r>
      <w:r>
        <w:rPr>
          <w:rFonts w:ascii="Times New Roman" w:cs="Times New Roman" w:eastAsia="Times New Roman" w:hAnsi="Times New Roman"/>
          <w:sz w:val="18"/>
          <w:szCs w:val="18"/>
          <w:color w:val="auto"/>
        </w:rPr>
        <w:t>. In the event that the Company is required to file or submit any reports, schedules, forms, statements and other documents required to be filed by the Trial Measures and corresponding guidance letters with respect to the transactions contemplated in this Agreement (“</w:t>
      </w:r>
      <w:r>
        <w:rPr>
          <w:rFonts w:ascii="Times New Roman" w:cs="Times New Roman" w:eastAsia="Times New Roman" w:hAnsi="Times New Roman"/>
          <w:sz w:val="18"/>
          <w:szCs w:val="18"/>
          <w:u w:val="single" w:color="auto"/>
          <w:color w:val="auto"/>
        </w:rPr>
        <w:t>CSRC Reports</w:t>
      </w:r>
      <w:r>
        <w:rPr>
          <w:rFonts w:ascii="Times New Roman" w:cs="Times New Roman" w:eastAsia="Times New Roman" w:hAnsi="Times New Roman"/>
          <w:sz w:val="18"/>
          <w:szCs w:val="18"/>
          <w:color w:val="auto"/>
        </w:rPr>
        <w:t>”), the Company shall immediately notify the Agents in writing.</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9" w:name="page130"/>
    <w:bookmarkEnd w:id="129"/>
    <w:p>
      <w:pPr>
        <w:jc w:val="both"/>
        <w:ind w:firstLine="656"/>
        <w:spacing w:after="0" w:line="253" w:lineRule="auto"/>
        <w:tabs>
          <w:tab w:leader="none" w:pos="82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Agents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fees and expenses of the Agents’ counsel, not to exceed $75,000 (excluding any periodic due diligence fees provided for under Section 4(n)), which shall be subject to the maximum set forth in Section 4(n)), which shall be paid upon the Execution Time; and (xi) all other costs and expenses incident to the performance by the Company of its obligations hereunder.</w:t>
      </w:r>
    </w:p>
    <w:p>
      <w:pPr>
        <w:spacing w:after="0" w:line="19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Agents</w:t>
      </w:r>
      <w:r>
        <w:rPr>
          <w:rFonts w:ascii="Times New Roman" w:cs="Times New Roman" w:eastAsia="Times New Roman" w:hAnsi="Times New Roman"/>
          <w:sz w:val="18"/>
          <w:szCs w:val="18"/>
          <w:color w:val="auto"/>
        </w:rPr>
        <w:t>. The obligations of the Agents under this Agreement and any Terms Agreement shall be subject to</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3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on the part of the Company contained herein as of the Execution Time, the Effective Time, each Representation Date, and as of each Applicable Time, Settlement Date and Time of Delivery, (ii) the performance by the Company of its obligations hereunder and (iii) the following additional conditions:</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the Registration Statement; Filing of Prospectus Supplement</w:t>
      </w:r>
      <w:r>
        <w:rPr>
          <w:rFonts w:ascii="Times New Roman" w:cs="Times New Roman" w:eastAsia="Times New Roman" w:hAnsi="Times New Roman"/>
          <w:sz w:val="18"/>
          <w:szCs w:val="18"/>
          <w:color w:val="auto"/>
        </w:rPr>
        <w:t>. The Registration Statement shall have been declared effective by the Commission and the Prospectus, and any supplement thereto, required by Rule 424 to be filed with the Commission shall have been filed in the manner and within the time period required by Rule 424(b) with respect to any sale of Shares; each Prospectus Supplement filed after the Effective Time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left="-460" w:firstLine="644"/>
        <w:spacing w:after="0" w:line="266" w:lineRule="auto"/>
        <w:tabs>
          <w:tab w:leader="none" w:pos="4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Opinion</w:t>
      </w:r>
      <w:r>
        <w:rPr>
          <w:rFonts w:ascii="Times New Roman" w:cs="Times New Roman" w:eastAsia="Times New Roman" w:hAnsi="Times New Roman"/>
          <w:sz w:val="18"/>
          <w:szCs w:val="18"/>
          <w:color w:val="auto"/>
        </w:rPr>
        <w:t>. The Company shall have caused (i) the Company Counsel to furnish to the Agents its opinion and negative assurance statement and (ii) the Company Nevada Counsel to furnish to the Agents its opinion, in each case, dated as of such date and addressed to the Agents, in form and substance acceptable to the Agents.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Officer’s Certificate</w:t>
      </w:r>
      <w:r>
        <w:rPr>
          <w:rFonts w:ascii="Times New Roman" w:cs="Times New Roman" w:eastAsia="Times New Roman" w:hAnsi="Times New Roman"/>
          <w:sz w:val="18"/>
          <w:szCs w:val="18"/>
          <w:color w:val="auto"/>
        </w:rPr>
        <w:t>. The Company shall have furnished or caused to be furnished to the Agents, a certificate of the Company signed by the Chief Executive Officer or the President and the principal financial or accounting officer of the Company, dated as of such date and addressed to the Agents,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5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10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Accountants’ “Comfort” Letter</w:t>
      </w:r>
      <w:r>
        <w:rPr>
          <w:rFonts w:ascii="Times New Roman" w:cs="Times New Roman" w:eastAsia="Times New Roman" w:hAnsi="Times New Roman"/>
          <w:sz w:val="18"/>
          <w:szCs w:val="18"/>
          <w:color w:val="auto"/>
        </w:rPr>
        <w:t>. The Company shall have requested and caused the Accountants to have furnished to the Agents, letters (which may refer to letters previously delivered to the Agents), dated as of such date and addressed to the Agents, in form and substance satisfactory to the Agents, confirming that they are independent accountants within the meaning of the Act and the Exchange Act and the respective applicable rules and regulations adopted by the Commission thereunder and that they have performed an audit of any audited financial information of the Company, and/or a review of any unaudited interim financial information of the Company, included or incorporated by reference in the Registration Statement and the Prospectus and provide customary “comfort” as to such review in form and substance satisfactory to the Agents.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1" w:name="page132"/>
    <w:bookmarkEnd w:id="131"/>
    <w:p>
      <w:pPr>
        <w:jc w:val="both"/>
        <w:ind w:left="-460" w:firstLine="644"/>
        <w:spacing w:after="0" w:line="253" w:lineRule="auto"/>
        <w:tabs>
          <w:tab w:leader="none" w:pos="4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Event</w:t>
      </w:r>
      <w:r>
        <w:rPr>
          <w:rFonts w:ascii="Times New Roman" w:cs="Times New Roman" w:eastAsia="Times New Roman" w:hAnsi="Times New Roman"/>
          <w:sz w:val="18"/>
          <w:szCs w:val="18"/>
          <w:color w:val="auto"/>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Designated Agent or the other Agents, acting reasonably.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All Fees</w:t>
      </w:r>
      <w:r>
        <w:rPr>
          <w:rFonts w:ascii="Times New Roman" w:cs="Times New Roman" w:eastAsia="Times New Roman" w:hAnsi="Times New Roman"/>
          <w:sz w:val="18"/>
          <w:szCs w:val="18"/>
          <w:color w:val="auto"/>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FINRA Objections</w:t>
      </w:r>
      <w:r>
        <w:rPr>
          <w:rFonts w:ascii="Times New Roman" w:cs="Times New Roman" w:eastAsia="Times New Roman" w:hAnsi="Times New Roman"/>
          <w:sz w:val="18"/>
          <w:szCs w:val="18"/>
          <w:color w:val="auto"/>
        </w:rPr>
        <w:t>. FINRA shall not have raised any objection with respect to the fairness and reasonableness of the terms and arrangements under this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Listed on Trading Market</w:t>
      </w:r>
      <w:r>
        <w:rPr>
          <w:rFonts w:ascii="Times New Roman" w:cs="Times New Roman" w:eastAsia="Times New Roman" w:hAnsi="Times New Roman"/>
          <w:sz w:val="18"/>
          <w:szCs w:val="18"/>
          <w:color w:val="auto"/>
        </w:rPr>
        <w:t>. The Shares shall have been listed and admitted and authorized for trading on the Trading Market, and satisfactory evidence of such actions shall have been provided to the Agents.</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Assurances</w:t>
      </w:r>
      <w:r>
        <w:rPr>
          <w:rFonts w:ascii="Times New Roman" w:cs="Times New Roman" w:eastAsia="Times New Roman" w:hAnsi="Times New Roman"/>
          <w:sz w:val="18"/>
          <w:szCs w:val="18"/>
          <w:color w:val="auto"/>
        </w:rPr>
        <w:t>. Prior to each Settlement Date and Time of Delivery, as applicable, the Company shall have furnished to the Agents such further information, certificates and documents as the Agents may reasonably request.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2" w:name="page133"/>
    <w:bookmarkEnd w:id="1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Agents and counsel for the Agents, this Agreement and all obligations of the Agents hereunder may be canceled at, or at any time prior to, any Settlement Date or Time of Delivery, as applicable, by the Designated Agent. Notice of such cancellation shall be given to the Company in writing or by telephone and confirmed in writing by electronic mail.</w:t>
      </w:r>
    </w:p>
    <w:p>
      <w:pPr>
        <w:spacing w:after="0" w:line="18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to the office of Haynes and Boone, LLP, counsel for the Agents, at 30 Rockefeller Plaza,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10112, email: rick.werner@haynesboone.com, on each such date as provided in this Agreement.</w:t>
      </w:r>
    </w:p>
    <w:p>
      <w:pPr>
        <w:spacing w:after="0" w:line="31" w:lineRule="exact"/>
        <w:rPr>
          <w:sz w:val="20"/>
          <w:szCs w:val="20"/>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xml:space="preserve">. The Company agrees to indemnify and hold harmless each Agent, the directors, officers, employees and agents of such Agent and each person who controls such Agent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an Agent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an Agent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Agent specifically for inclusion therein. This indemnity agreement will be in addition to any liability that the Company may otherwise have.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ind w:left="-460" w:firstLine="644"/>
        <w:spacing w:after="0" w:line="255" w:lineRule="auto"/>
        <w:tabs>
          <w:tab w:leader="none" w:pos="4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Each Agent</w:t>
      </w:r>
      <w:r>
        <w:rPr>
          <w:rFonts w:ascii="Times New Roman" w:cs="Times New Roman" w:eastAsia="Times New Roman" w:hAnsi="Times New Roman"/>
          <w:sz w:val="18"/>
          <w:szCs w:val="18"/>
          <w:color w:val="auto"/>
        </w:rPr>
        <w:t xml:space="preserve">. Each of the Agents, severally and not jointly with the other Agents,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Agents, but only with reference to written information relating to such Agent furnished to the Company by such Agent specifically for inclusion in the documents referred to in the foregoing indemnity;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an Agent be responsible for any amount in excess of the Broker Fee applicable to the Shares and paid hereunder to such Agent. This indemnity agreement will be in addition to any liability which an Agent may otherwise have.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documented and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4" w:name="page135"/>
    <w:bookmarkEnd w:id="134"/>
    <w:p>
      <w:pPr>
        <w:jc w:val="both"/>
        <w:ind w:left="4" w:firstLine="644"/>
        <w:spacing w:after="0" w:line="251" w:lineRule="auto"/>
        <w:tabs>
          <w:tab w:leader="none" w:pos="90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that the indemnity provided in paragraph (a), (b) or (c) of this Section 7 is unavailable to or insufficient to hold harmless an indemnified party for any reason, the Company and each of the Agents, severally and not jointly with the other Agents,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and an Agent may be subject in such proportion as is appropriate to reflect the relative benefits received by the Company on the one hand and by such Agent on the other from the offering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an Agent be responsible for any amount in excess of the Broker Fee applicable to the Shares and paid hereunder to such Agent. If the allocation provided by the immediately preceding sentence is unavailable for any reason, the Company and each Agent, severally and not jointly with the other Agents, severally shall contribute in such proportion as is appropriate to reflect not only such relative benefits but also the relative fault of the Company on the one hand and of such Agent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an Agent shall be deemed to be equal to the Broker Fee applicable to the Shares and paid hereunder to such Agent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an Agent on the other, the intent of the parties and their relative knowledge, access to information and opportunity to correct or prevent such untrue statement or omission. The Company and each of the Agents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an Agent within the meaning of either the Act or the Exchange Act and each director, officer, employee and agent of such Agent shall have the same rights to contribution as such Agent,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89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to one or more Agents as hereinafter specified, to terminate the provisions of this Agreement relating to the solicitation of offers to purchase the Shares with respect to such Agent or Agents in its sole discretion at any time upon ten (10) Business Days’ prior written notice. Any such termination shall be without liability of any party to any other party except that</w:t>
      </w:r>
    </w:p>
    <w:p>
      <w:pPr>
        <w:spacing w:after="0" w:line="1" w:lineRule="exact"/>
        <w:rPr>
          <w:rFonts w:ascii="Times New Roman" w:cs="Times New Roman" w:eastAsia="Times New Roman" w:hAnsi="Times New Roman"/>
          <w:sz w:val="18"/>
          <w:szCs w:val="18"/>
          <w:color w:val="auto"/>
        </w:rPr>
      </w:pPr>
    </w:p>
    <w:p>
      <w:pPr>
        <w:jc w:val="both"/>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any pending sale through a Designated Agent for the Company, the obligations of the Company, including in respect of compensation of the Designated Agent, shall remain in full force and effect notwithstanding the termination and (ii) the provisions of Sections 5, 6, 7, 8, 9, 10, 12, the second clause of 13 following the semicolon, 14 and 16 of this Agreement shall remain in full force and effect notwithstanding such termination.</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have the right, by giving written notice as hereinafter specified, to terminate the provisions of this Agreement relating to the solicitation of offers to purchase the Shares solely with respect to such Agent in its sole discretion at any time. Any such termination shall be without liability of any party to any other party except that the provisions of Sections 5, 7, 8, 9, 10, 12, the second clause of 13 following the semicolon, 14 and 16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until the date that this Agreement is terminated pursuant to Sections 8(a) or</w:t>
      </w:r>
    </w:p>
    <w:p>
      <w:pPr>
        <w:spacing w:after="0" w:line="27"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or otherwise by mutual agreement of the Company and the Agents, provided that any such termination by mutual agreement shall in all cases be deemed to provide that Sections 5, 7, 8, 9, 10, 12, the second clause of 13 following the semicolon, 14 and 16 of this Agreement shall remain in full force and effect.</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applicable Agent or the Company, as the case may be. If such termination shall occur prior to the Settlement Date or Time of Delivery for any sale of the Shares, such sale of the Shares shall settle in accordance with the provisions of Section 2(b) of this Agreement.</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5" w:name="page136"/>
    <w:bookmarkEnd w:id="135"/>
    <w:p>
      <w:pPr>
        <w:jc w:val="both"/>
        <w:ind w:left="660" w:firstLine="644"/>
        <w:spacing w:after="0" w:line="253" w:lineRule="auto"/>
        <w:tabs>
          <w:tab w:leader="none" w:pos="157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a Designated Agent pursuant to a Terms Agreement, the obligations of such Designated Agent pursuant to such Terms Agreement shall be subject to termination, in the absolute discretion of such Designated Agent,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U.S.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Designated Agent, impractical or inadvisable to proceed with the offering or delivery of the Shares as contemplated by the Prospectus (exclusive of any amendment or supplement thereto).</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each Agent set forth in or made pursuant to this Agreement will remain in full force and effect, regardless of any investigation made by an Agent or the Company or any of the officers, directors, employees, agents or controlling persons referred to in Section 7, and will survive delivery of and payment for the Shares.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will be mailed, delivered, or e-mailed to the addresses of the Company and the Agents, respectively, set forth on the signature page 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each Agent and any affiliate through which it may be acting, on the other,</w:t>
      </w:r>
    </w:p>
    <w:p>
      <w:pPr>
        <w:jc w:val="both"/>
        <w:ind w:firstLine="8"/>
        <w:spacing w:after="0" w:line="252" w:lineRule="auto"/>
        <w:tabs>
          <w:tab w:leader="none" w:pos="2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sales agent and/or principal in connection with the purchase and sale of the Company’s securities and not as a fiduciary of the Company and (c) the Company’s engagement of each Agent in connection with the offering and the process leading up to the offering is as independent contractor and not in any other capacity. Furthermore, the Company agrees that it is solely responsible for making its own judgments in connection with the offering (irrespective of whether an Agent has advised or is currently advising the Company on related or other matters). The Company agrees that it will not claim that an Agent has rendered advisory services of any nature or respect, or owe an agency, fiduciary or similar duty to the Company, in connection with such transaction or the process leading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left="-20" w:firstLine="656"/>
        <w:spacing w:after="0" w:line="256" w:lineRule="auto"/>
        <w:tabs>
          <w:tab w:leader="none" w:pos="8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each Agent with respect to the subject matter hereof; provided, however, that Rodman or its assignees, if any, shall act as the Company’s exclusive and sole sales agent for each and every at-the-market program (or facility), current or subsequent, to be established and/or used by the Company during the twelve (12) month period commencing on the date hereof. Notwithstanding anything herein to the contrary, the letter agreement, dated September 23, 2025, by and between the Company and the Agents shall continue to be effective and the terms therein shall continue to survive and be enforceable by the Agents in accordance with its terms.</w:t>
      </w:r>
    </w:p>
    <w:p>
      <w:pPr>
        <w:spacing w:after="0" w:line="187" w:lineRule="exact"/>
        <w:rPr>
          <w:rFonts w:ascii="Times New Roman" w:cs="Times New Roman" w:eastAsia="Times New Roman" w:hAnsi="Times New Roman"/>
          <w:sz w:val="18"/>
          <w:szCs w:val="18"/>
          <w:color w:val="auto"/>
        </w:rPr>
      </w:pPr>
    </w:p>
    <w:p>
      <w:pPr>
        <w:jc w:val="both"/>
        <w:ind w:left="-20" w:right="20" w:firstLine="656"/>
        <w:spacing w:after="0" w:line="261" w:lineRule="auto"/>
        <w:tabs>
          <w:tab w:leader="none" w:pos="8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Agents.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9"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91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of the Company and each of the Agents: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each of the Agents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each Agent mailed by certified mail to such Agent’s address shall be deemed in every respect effective service process upon such Agent,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37" w:name="page138"/>
    <w:bookmarkEnd w:id="137"/>
    <w:p>
      <w:pPr>
        <w:jc w:val="both"/>
        <w:ind w:right="20" w:firstLine="656"/>
        <w:spacing w:after="0" w:line="268" w:lineRule="auto"/>
        <w:tabs>
          <w:tab w:leader="none" w:pos="931"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74"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5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 construction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each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Zhenwu (Wayne) Huang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Zhenwu (Wayne) Huang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2975 Lincoln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Dinkin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Dinkin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Rodman &amp; Renshaw LLC</w:t>
      </w:r>
    </w:p>
    <w:p>
      <w:pPr>
        <w:spacing w:after="0" w:line="205" w:lineRule="auto"/>
        <w:rPr>
          <w:sz w:val="20"/>
          <w:szCs w:val="20"/>
          <w:color w:val="auto"/>
        </w:rPr>
      </w:pPr>
      <w:r>
        <w:rPr>
          <w:rFonts w:ascii="Times New Roman" w:cs="Times New Roman" w:eastAsia="Times New Roman" w:hAnsi="Times New Roman"/>
          <w:sz w:val="18"/>
          <w:szCs w:val="18"/>
          <w:color w:val="auto"/>
        </w:rPr>
        <w:t>600 Lexington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Merav Gershtenman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Merav Gershtenman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05" w:lineRule="auto"/>
        <w:rPr>
          <w:sz w:val="20"/>
          <w:szCs w:val="20"/>
          <w:color w:val="auto"/>
        </w:rPr>
      </w:pPr>
      <w:r>
        <w:rPr>
          <w:rFonts w:ascii="Times New Roman" w:cs="Times New Roman" w:eastAsia="Times New Roman" w:hAnsi="Times New Roman"/>
          <w:sz w:val="18"/>
          <w:szCs w:val="18"/>
          <w:color w:val="auto"/>
        </w:rPr>
        <w:t>430 Park Avenue,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Form of Terms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Richtech Robotics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 The Market Offering Agreement, dated September 23, 2025 (the “</w:t>
      </w:r>
      <w:r>
        <w:rPr>
          <w:rFonts w:ascii="Times New Roman" w:cs="Times New Roman" w:eastAsia="Times New Roman" w:hAnsi="Times New Roman"/>
          <w:sz w:val="18"/>
          <w:szCs w:val="18"/>
          <w:u w:val="single" w:color="auto"/>
          <w:color w:val="auto"/>
        </w:rPr>
        <w:t>At The Market Offering Agreement</w:t>
      </w:r>
      <w:r>
        <w:rPr>
          <w:rFonts w:ascii="Times New Roman" w:cs="Times New Roman" w:eastAsia="Times New Roman" w:hAnsi="Times New Roman"/>
          <w:sz w:val="18"/>
          <w:szCs w:val="18"/>
          <w:color w:val="auto"/>
        </w:rPr>
        <w:t>”), among the Company, Rodman &amp; Renshaw LLC and its successors and permitted assigns (“</w:t>
      </w:r>
      <w:r>
        <w:rPr>
          <w:rFonts w:ascii="Times New Roman" w:cs="Times New Roman" w:eastAsia="Times New Roman" w:hAnsi="Times New Roman"/>
          <w:sz w:val="18"/>
          <w:szCs w:val="18"/>
          <w:u w:val="single" w:color="auto"/>
          <w:color w:val="auto"/>
        </w:rPr>
        <w:t>Rodman</w:t>
      </w:r>
      <w:r>
        <w:rPr>
          <w:rFonts w:ascii="Times New Roman" w:cs="Times New Roman" w:eastAsia="Times New Roman" w:hAnsi="Times New Roman"/>
          <w:sz w:val="18"/>
          <w:szCs w:val="18"/>
          <w:color w:val="auto"/>
        </w:rPr>
        <w:t>”) and H.C. Wainwright &amp; Co., LLC (each of Rodman and Wainwright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to issue and sell to Rodman (Rodman, or such other Agent selected by Rodman, the “</w:t>
      </w:r>
      <w:r>
        <w:rPr>
          <w:rFonts w:ascii="Times New Roman" w:cs="Times New Roman" w:eastAsia="Times New Roman" w:hAnsi="Times New Roman"/>
          <w:sz w:val="18"/>
          <w:szCs w:val="18"/>
          <w:u w:val="single" w:color="auto"/>
          <w:color w:val="auto"/>
        </w:rPr>
        <w:t>Designated Agent</w:t>
      </w:r>
      <w:r>
        <w:rPr>
          <w:rFonts w:ascii="Times New Roman" w:cs="Times New Roman" w:eastAsia="Times New Roman" w:hAnsi="Times New Roman"/>
          <w:sz w:val="18"/>
          <w:szCs w:val="18"/>
          <w:color w:val="auto"/>
        </w:rPr>
        <w:t xml:space="preserve">”) the securities specified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provisions of the At The Market Offering Agreement not specifically related to the solicitation by the Designated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At The Market Offering Agreement), or a supplement to the Prospectus, as the case may be, relating to the Purchased Shares, in the form heretofore delivered to the Designated Agent is now proposed to be filed with the Securities and Exchange Commission.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and in the At The Market Offering Agreement which are incorporated herein by reference, the Company agrees to issue and sell to the Designated Agent and the latter agrees to purchase from the Company the number of shares of the Purchased Shares at the time and place and at the purchase price set forth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Designated Agent and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168275</wp:posOffset>
            </wp:positionV>
            <wp:extent cx="3429000" cy="6940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342900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of Richtech Robotics Inc. (the “Company”) of our report dated January 14, 2025, as amended on Form 10-K/A on February 7, 2025 and March 4, 2025, respectively relating to the consolidated financial statements of the Company, which appear in this Registration Statement on Form S-3.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63065" cy="368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166306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 (PCAOB 6797)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9555 S Eastern Suite, 280 Ave Las Vegas, NV 89123 ● 702.703.5979 ● www.bushandassociatescpas.com</w:t>
      </w:r>
    </w:p>
    <w:p>
      <w:pPr>
        <w:sectPr>
          <w:pgSz w:w="11900" w:h="16838" w:orient="portrait"/>
          <w:cols w:equalWidth="0" w:num="1">
            <w:col w:w="11240"/>
          </w:cols>
          <w:pgMar w:left="320" w:top="108" w:right="339" w:bottom="1440" w:gutter="0" w:footer="0" w:header="0"/>
        </w:sectPr>
      </w:pPr>
    </w:p>
    <w:bookmarkStart w:id="142" w:name="page143"/>
    <w:bookmarkEnd w:id="142"/>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RICHTECH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Newly Registered Securities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B 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Contracts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Subscription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Depositary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B 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153,100.00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92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1,000,000,000.00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153,100.00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153,100.00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80" w:lineRule="exact"/>
        <w:rPr>
          <w:sz w:val="20"/>
          <w:szCs w:val="20"/>
          <w:color w:val="auto"/>
        </w:rPr>
      </w:pPr>
    </w:p>
    <w:p>
      <w:pPr>
        <w:jc w:val="both"/>
        <w:ind w:left="360" w:hanging="1"/>
        <w:spacing w:after="0" w:line="266" w:lineRule="auto"/>
        <w:tabs>
          <w:tab w:leader="none" w:pos="63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360" w:hanging="1"/>
        <w:spacing w:after="0" w:line="266" w:lineRule="auto"/>
        <w:tabs>
          <w:tab w:leader="none" w:pos="61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360" w:hanging="1"/>
        <w:spacing w:after="0" w:line="261" w:lineRule="auto"/>
        <w:tabs>
          <w:tab w:leader="none" w:pos="61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71"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3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360" w:hanging="1"/>
        <w:spacing w:after="0" w:line="266" w:lineRule="auto"/>
        <w:tabs>
          <w:tab w:leader="none" w:pos="61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360" w:hanging="1"/>
        <w:spacing w:after="0" w:line="261" w:lineRule="auto"/>
        <w:tabs>
          <w:tab w:leader="none" w:pos="61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71"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3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ectPr>
          <w:pgSz w:w="11900" w:h="16913" w:orient="portrait"/>
          <w:cols w:equalWidth="0" w:num="1">
            <w:col w:w="11240"/>
          </w:cols>
          <w:pgMar w:left="320" w:top="108" w:right="339" w:bottom="0" w:gutter="0" w:footer="0" w:header="0"/>
        </w:sectPr>
      </w:pPr>
    </w:p>
    <w:bookmarkStart w:id="143" w:name="page144"/>
    <w:bookmarkEnd w:id="143"/>
    <w:p>
      <w:pPr>
        <w:jc w:val="both"/>
        <w:ind w:left="292" w:hanging="1"/>
        <w:spacing w:after="0" w:line="266" w:lineRule="auto"/>
        <w:tabs>
          <w:tab w:leader="none" w:pos="54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292" w:hanging="1"/>
        <w:spacing w:after="0" w:line="261" w:lineRule="auto"/>
        <w:tabs>
          <w:tab w:leader="none" w:pos="54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71" w:lineRule="exact"/>
        <w:rPr>
          <w:rFonts w:ascii="Times New Roman" w:cs="Times New Roman" w:eastAsia="Times New Roman" w:hAnsi="Times New Roman"/>
          <w:sz w:val="18"/>
          <w:szCs w:val="18"/>
          <w:color w:val="auto"/>
        </w:rPr>
      </w:pPr>
    </w:p>
    <w:p>
      <w:pPr>
        <w:jc w:val="both"/>
        <w:ind w:left="292" w:hanging="292"/>
        <w:spacing w:after="0" w:line="261" w:lineRule="auto"/>
        <w:tabs>
          <w:tab w:leader="none" w:pos="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292" w:hanging="1"/>
        <w:spacing w:after="0" w:line="266" w:lineRule="auto"/>
        <w:tabs>
          <w:tab w:leader="none" w:pos="56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92" w:hanging="1"/>
        <w:spacing w:after="0" w:line="266" w:lineRule="auto"/>
        <w:tabs>
          <w:tab w:leader="none" w:pos="54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292" w:hanging="1"/>
        <w:spacing w:after="0" w:line="261" w:lineRule="auto"/>
        <w:tabs>
          <w:tab w:leader="none" w:pos="5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180"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Warrants may represent rights to purchase debt securities, Class B common stock, preferred stock or other securities registered hereunder.</w:t>
      </w:r>
    </w:p>
    <w:p>
      <w:pPr>
        <w:spacing w:after="0" w:line="117" w:lineRule="exact"/>
        <w:rPr>
          <w:sz w:val="20"/>
          <w:szCs w:val="20"/>
          <w:color w:val="auto"/>
        </w:rPr>
      </w:pPr>
    </w:p>
    <w:p>
      <w:pPr>
        <w:jc w:val="both"/>
        <w:ind w:left="292" w:hanging="292"/>
        <w:spacing w:after="0" w:line="261" w:lineRule="auto"/>
        <w:tabs>
          <w:tab w:leader="none" w:pos="29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292" w:hanging="1"/>
        <w:spacing w:after="0" w:line="266" w:lineRule="auto"/>
        <w:tabs>
          <w:tab w:leader="none" w:pos="56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92" w:hanging="1"/>
        <w:spacing w:after="0" w:line="266" w:lineRule="auto"/>
        <w:tabs>
          <w:tab w:leader="none" w:pos="54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292" w:hanging="1"/>
        <w:spacing w:after="0" w:line="261" w:lineRule="auto"/>
        <w:tabs>
          <w:tab w:leader="none" w:pos="5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180"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Subscription rights evidence rights to purchase any securities of the Registrant registered under this registration statement.</w:t>
      </w:r>
    </w:p>
    <w:p>
      <w:pPr>
        <w:spacing w:after="0" w:line="117" w:lineRule="exact"/>
        <w:rPr>
          <w:sz w:val="20"/>
          <w:szCs w:val="20"/>
          <w:color w:val="auto"/>
        </w:rPr>
      </w:pPr>
    </w:p>
    <w:p>
      <w:pPr>
        <w:jc w:val="both"/>
        <w:ind w:left="292" w:hanging="292"/>
        <w:spacing w:after="0" w:line="261" w:lineRule="auto"/>
        <w:tabs>
          <w:tab w:leader="none" w:pos="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292" w:hanging="1"/>
        <w:spacing w:after="0" w:line="266" w:lineRule="auto"/>
        <w:tabs>
          <w:tab w:leader="none" w:pos="56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92" w:hanging="1"/>
        <w:spacing w:after="0" w:line="266" w:lineRule="auto"/>
        <w:tabs>
          <w:tab w:leader="none" w:pos="54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292" w:hanging="1"/>
        <w:spacing w:after="0" w:line="261" w:lineRule="auto"/>
        <w:tabs>
          <w:tab w:leader="none" w:pos="54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71" w:lineRule="exact"/>
        <w:rPr>
          <w:rFonts w:ascii="Times New Roman" w:cs="Times New Roman" w:eastAsia="Times New Roman" w:hAnsi="Times New Roman"/>
          <w:sz w:val="18"/>
          <w:szCs w:val="18"/>
          <w:color w:val="auto"/>
        </w:rPr>
      </w:pPr>
    </w:p>
    <w:p>
      <w:pPr>
        <w:jc w:val="both"/>
        <w:ind w:left="292" w:hanging="292"/>
        <w:spacing w:after="0" w:line="261" w:lineRule="auto"/>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79" w:lineRule="exact"/>
        <w:rPr>
          <w:rFonts w:ascii="Times New Roman" w:cs="Times New Roman" w:eastAsia="Times New Roman" w:hAnsi="Times New Roman"/>
          <w:sz w:val="18"/>
          <w:szCs w:val="18"/>
          <w:color w:val="auto"/>
        </w:rPr>
      </w:pPr>
    </w:p>
    <w:p>
      <w:pPr>
        <w:jc w:val="both"/>
        <w:ind w:left="292" w:hanging="1"/>
        <w:spacing w:after="0" w:line="266" w:lineRule="auto"/>
        <w:tabs>
          <w:tab w:leader="none" w:pos="56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(a) The proposed maximum per security and aggregate offering prices per class of securities will be determined from time to time by the registrant in</w:t>
      </w:r>
    </w:p>
    <w:p>
      <w:pPr>
        <w:sectPr>
          <w:pgSz w:w="11900" w:h="16838" w:orient="portrait"/>
          <w:cols w:equalWidth="0" w:num="1">
            <w:col w:w="11172"/>
          </w:cols>
          <w:pgMar w:left="388" w:top="337" w:right="339" w:bottom="0" w:gutter="0" w:footer="0" w:header="0"/>
        </w:sectPr>
      </w:pPr>
    </w:p>
    <w:bookmarkStart w:id="144" w:name="page145"/>
    <w:bookmarkEnd w:id="144"/>
    <w:p>
      <w:pPr>
        <w:ind w:left="292" w:right="20"/>
        <w:spacing w:after="0" w:line="282" w:lineRule="auto"/>
        <w:rPr>
          <w:sz w:val="20"/>
          <w:szCs w:val="20"/>
          <w:color w:val="auto"/>
        </w:rPr>
      </w:pPr>
      <w:r>
        <w:rPr>
          <w:rFonts w:ascii="Times New Roman" w:cs="Times New Roman" w:eastAsia="Times New Roman" w:hAnsi="Times New Roman"/>
          <w:sz w:val="18"/>
          <w:szCs w:val="18"/>
          <w:color w:val="auto"/>
        </w:rPr>
        <w:t>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62" w:lineRule="exact"/>
        <w:rPr>
          <w:sz w:val="20"/>
          <w:szCs w:val="20"/>
          <w:color w:val="auto"/>
        </w:rPr>
      </w:pPr>
    </w:p>
    <w:p>
      <w:pPr>
        <w:jc w:val="both"/>
        <w:ind w:left="292" w:hanging="1"/>
        <w:spacing w:after="0" w:line="261" w:lineRule="auto"/>
        <w:tabs>
          <w:tab w:leader="none" w:pos="54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180"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Debt securities may be senior or subordinated, convertible or non-convertible and secured or unsecured.</w:t>
      </w:r>
    </w:p>
    <w:p>
      <w:pPr>
        <w:spacing w:after="0" w:line="117" w:lineRule="exact"/>
        <w:rPr>
          <w:sz w:val="20"/>
          <w:szCs w:val="20"/>
          <w:color w:val="auto"/>
        </w:rPr>
      </w:pPr>
    </w:p>
    <w:p>
      <w:pPr>
        <w:jc w:val="both"/>
        <w:ind w:left="292" w:hanging="292"/>
        <w:spacing w:after="0" w:line="261" w:lineRule="auto"/>
        <w:tabs>
          <w:tab w:leader="none" w:pos="2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80" w:lineRule="exact"/>
        <w:rPr>
          <w:sz w:val="20"/>
          <w:szCs w:val="20"/>
          <w:color w:val="auto"/>
        </w:rPr>
      </w:pPr>
    </w:p>
    <w:p>
      <w:pPr>
        <w:jc w:val="both"/>
        <w:ind w:left="292" w:hanging="1"/>
        <w:spacing w:after="0" w:line="266" w:lineRule="auto"/>
        <w:tabs>
          <w:tab w:leader="none" w:pos="5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92" w:hanging="1"/>
        <w:spacing w:after="0" w:line="266" w:lineRule="auto"/>
        <w:tabs>
          <w:tab w:leader="none" w:pos="54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75" w:lineRule="exact"/>
        <w:rPr>
          <w:rFonts w:ascii="Times New Roman" w:cs="Times New Roman" w:eastAsia="Times New Roman" w:hAnsi="Times New Roman"/>
          <w:sz w:val="18"/>
          <w:szCs w:val="18"/>
          <w:color w:val="auto"/>
        </w:rPr>
      </w:pPr>
    </w:p>
    <w:p>
      <w:pPr>
        <w:jc w:val="both"/>
        <w:ind w:left="292" w:hanging="1"/>
        <w:spacing w:after="0" w:line="261" w:lineRule="auto"/>
        <w:tabs>
          <w:tab w:leader="none" w:pos="5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180" w:lineRule="exact"/>
        <w:rPr>
          <w:sz w:val="20"/>
          <w:szCs w:val="20"/>
          <w:color w:val="auto"/>
        </w:rPr>
      </w:pPr>
    </w:p>
    <w:p>
      <w:pPr>
        <w:ind w:left="292"/>
        <w:spacing w:after="0" w:line="282" w:lineRule="auto"/>
        <w:rPr>
          <w:sz w:val="20"/>
          <w:szCs w:val="20"/>
          <w:color w:val="auto"/>
        </w:rPr>
      </w:pPr>
      <w:r>
        <w:rPr>
          <w:rFonts w:ascii="Times New Roman" w:cs="Times New Roman" w:eastAsia="Times New Roman" w:hAnsi="Times New Roman"/>
          <w:sz w:val="18"/>
          <w:szCs w:val="18"/>
          <w:color w:val="auto"/>
        </w:rPr>
        <w:t>Any securities registered under this registration statement may be sold separately or as units with other securities registered under this registration statement.</w:t>
      </w:r>
    </w:p>
    <w:p>
      <w:pPr>
        <w:spacing w:after="0" w:line="54" w:lineRule="exact"/>
        <w:rPr>
          <w:sz w:val="20"/>
          <w:szCs w:val="20"/>
          <w:color w:val="auto"/>
        </w:rPr>
      </w:pPr>
    </w:p>
    <w:p>
      <w:pPr>
        <w:jc w:val="both"/>
        <w:ind w:left="292" w:hanging="292"/>
        <w:spacing w:after="0" w:line="261" w:lineRule="auto"/>
        <w:tabs>
          <w:tab w:leader="none" w:pos="29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are being registered hereunder such indeterminate amount of the securities of each identified class as may from time to time be offered hereunder by the Registrant at indeterminate prices. The securities being registered hereunder also include such indeterminate amount of securities as may be issued upon exercise, settlement, exchange or conversion securities offered or sold hereunder, or pursuant to the anti-dilution provisions of any such securities.</w:t>
      </w:r>
    </w:p>
    <w:p>
      <w:pPr>
        <w:spacing w:after="0" w:line="180" w:lineRule="exact"/>
        <w:rPr>
          <w:sz w:val="20"/>
          <w:szCs w:val="20"/>
          <w:color w:val="auto"/>
        </w:rPr>
      </w:pPr>
    </w:p>
    <w:p>
      <w:pPr>
        <w:jc w:val="both"/>
        <w:ind w:left="292" w:hanging="1"/>
        <w:spacing w:after="0" w:line="266" w:lineRule="auto"/>
        <w:tabs>
          <w:tab w:leader="none" w:pos="56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92"/>
        <w:spacing w:after="0" w:line="266" w:lineRule="auto"/>
        <w:rPr>
          <w:sz w:val="20"/>
          <w:szCs w:val="20"/>
          <w:color w:val="auto"/>
        </w:rPr>
      </w:pPr>
      <w:r>
        <w:rPr>
          <w:rFonts w:ascii="Times New Roman" w:cs="Times New Roman" w:eastAsia="Times New Roman" w:hAnsi="Times New Roman"/>
          <w:sz w:val="18"/>
          <w:szCs w:val="18"/>
          <w:color w:val="auto"/>
        </w:rPr>
        <w:t>Pursuant to Rule 416 under the Securities Act, the shares being registered hereunder include such indeterminate number of shares of Class B common stock and preferred stock as may be issuable with respect to the shares being registered hereunder as a result of stock splits, stock dividends or similar transactions.</w:t>
      </w:r>
    </w:p>
    <w:sectPr>
      <w:pgSz w:w="11900" w:h="16838" w:orient="portrait"/>
      <w:cols w:equalWidth="0" w:num="1">
        <w:col w:w="11172"/>
      </w:cols>
      <w:pgMar w:left="38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1"/>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2"/>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1."/>
      <w:numFmt w:val="decimal"/>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1."/>
      <w:numFmt w:val="decimal"/>
      <w:start w:val="1"/>
    </w:lvl>
  </w:abstractNum>
  <w:abstractNum w:abstractNumId="24">
    <w:nsid w:val="39EE015C"/>
    <w:multiLevelType w:val="hybridMultilevel"/>
    <w:lvl w:ilvl="0">
      <w:lvlJc w:val="left"/>
      <w:lvlText w:val="(%1)"/>
      <w:numFmt w:val="decimal"/>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1)"/>
      <w:numFmt w:val="lowerLetter"/>
      <w:start w:val="3"/>
    </w:lvl>
  </w:abstractNum>
  <w:abstractNum w:abstractNumId="27">
    <w:nsid w:val="43F18422"/>
    <w:multiLevelType w:val="hybridMultilevel"/>
    <w:lvl w:ilvl="0">
      <w:lvlJc w:val="left"/>
      <w:lvlText w:val="%1"/>
      <w:numFmt w:val="decimal"/>
      <w:start w:val="107"/>
    </w:lvl>
  </w:abstractNum>
  <w:abstractNum w:abstractNumId="28">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26F324BA"/>
    <w:multiLevelType w:val="hybridMultilevel"/>
    <w:lvl w:ilvl="0">
      <w:lvlJc w:val="left"/>
      <w:lvlText w:val="(%1)"/>
      <w:numFmt w:val="decimal"/>
      <w:start w:val="2"/>
    </w:lvl>
    <w:lvl w:ilvl="1">
      <w:lvlJc w:val="left"/>
      <w:lvlText w:val="(%2)"/>
      <w:numFmt w:val="lowerRoman"/>
      <w:start w:val="1"/>
    </w:lvl>
  </w:abstractNum>
  <w:abstractNum w:abstractNumId="30">
    <w:nsid w:val="7F01579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1">
    <w:nsid w:val="49DA307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2">
    <w:nsid w:val="7055A5F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1)"/>
      <w:numFmt w:val="lowerRoman"/>
      <w:start w:val="2"/>
    </w:lvl>
  </w:abstractNum>
  <w:abstractNum w:abstractNumId="35">
    <w:nsid w:val="488AC1A"/>
    <w:multiLevelType w:val="hybridMultilevel"/>
    <w:lvl w:ilvl="0">
      <w:lvlJc w:val="left"/>
      <w:lvlText w:val="(%1)"/>
      <w:numFmt w:val="lowerLetter"/>
      <w:start w:val="1"/>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abstractNum>
  <w:abstractNum w:abstractNumId="38">
    <w:nsid w:val="7672BD23"/>
    <w:multiLevelType w:val="hybridMultilevel"/>
    <w:lvl w:ilvl="0">
      <w:lvlJc w:val="left"/>
      <w:lvlText w:val="(%1)"/>
      <w:numFmt w:val="lowerLetter"/>
      <w:start w:val="14"/>
    </w:lvl>
  </w:abstractNum>
  <w:abstractNum w:abstractNumId="39">
    <w:nsid w:val="6FC75AF8"/>
    <w:multiLevelType w:val="hybridMultilevel"/>
    <w:lvl w:ilvl="0">
      <w:lvlJc w:val="left"/>
      <w:lvlText w:val="%1"/>
      <w:numFmt w:val="lowerLetter"/>
      <w:start w:val="1"/>
    </w:lvl>
    <w:lvl w:ilvl="1">
      <w:lvlJc w:val="left"/>
      <w:lvlText w:val="(%2)"/>
      <w:numFmt w:val="lowerLetter"/>
      <w:start w:val="1"/>
    </w:lvl>
  </w:abstractNum>
  <w:abstractNum w:abstractNumId="40">
    <w:nsid w:val="6A5F7029"/>
    <w:multiLevelType w:val="hybridMultilevel"/>
    <w:lvl w:ilvl="0">
      <w:lvlJc w:val="left"/>
      <w:lvlText w:val="(%1)"/>
      <w:numFmt w:val="lowerLetter"/>
      <w:start w:val="35"/>
    </w:lvl>
    <w:lvl w:ilvl="1">
      <w:lvlJc w:val="left"/>
      <w:lvlText w:val="(%2)"/>
      <w:numFmt w:val="lowerLetter"/>
      <w:start w:val="2"/>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lowerLetter"/>
      <w:start w:val="3"/>
    </w:lvl>
  </w:abstractNum>
  <w:abstractNum w:abstractNumId="43">
    <w:nsid w:val="73A1821B"/>
    <w:multiLevelType w:val="hybridMultilevel"/>
    <w:lvl w:ilvl="0">
      <w:lvlJc w:val="left"/>
      <w:lvlText w:val="(%1)"/>
      <w:numFmt w:val="lowerLetter"/>
      <w:start w:val="5"/>
    </w:lvl>
  </w:abstractNum>
  <w:abstractNum w:abstractNumId="44">
    <w:nsid w:val="7DE67713"/>
    <w:multiLevelType w:val="hybridMultilevel"/>
    <w:lvl w:ilvl="0">
      <w:lvlJc w:val="left"/>
      <w:lvlText w:val="(%1)"/>
      <w:numFmt w:val="lowerLetter"/>
      <w:start w:val="1"/>
    </w:lvl>
    <w:lvl w:ilvl="1">
      <w:lvlJc w:val="left"/>
      <w:lvlText w:val="(%2)"/>
      <w:numFmt w:val="lowerRoman"/>
      <w:start w:val="1"/>
    </w:lvl>
  </w:abstractNum>
  <w:abstractNum w:abstractNumId="45">
    <w:nsid w:val="555C55B5"/>
    <w:multiLevelType w:val="hybridMultilevel"/>
    <w:lvl w:ilvl="0">
      <w:lvlJc w:val="left"/>
      <w:lvlText w:val="(%1)"/>
      <w:numFmt w:val="lowerLetter"/>
      <w:start w:val="1"/>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4"/>
    </w:lvl>
    <w:lvl w:ilvl="1">
      <w:lvlJc w:val="left"/>
      <w:lvlText w:val="(%2)"/>
      <w:numFmt w:val="lowerRoman"/>
      <w:start w:val="1"/>
    </w:lvl>
  </w:abstractNum>
  <w:abstractNum w:abstractNumId="48">
    <w:nsid w:val="6A3DD3E8"/>
    <w:multiLevelType w:val="hybridMultilevel"/>
    <w:lvl w:ilvl="0">
      <w:lvlJc w:val="left"/>
      <w:lvlText w:val="(%1)"/>
      <w:numFmt w:val="lowerLetter"/>
      <w:start w:val="1"/>
    </w:lvl>
  </w:abstractNum>
  <w:abstractNum w:abstractNumId="49">
    <w:nsid w:val="71C91298"/>
    <w:multiLevelType w:val="hybridMultilevel"/>
    <w:lvl w:ilvl="0">
      <w:lvlJc w:val="left"/>
      <w:lvlText w:val="(%1)"/>
      <w:numFmt w:val="lowerLetter"/>
      <w:start w:val="1"/>
    </w:lvl>
  </w:abstractNum>
  <w:abstractNum w:abstractNumId="50">
    <w:nsid w:val="9DAF632"/>
    <w:multiLevelType w:val="hybridMultilevel"/>
    <w:lvl w:ilvl="0">
      <w:lvlJc w:val="left"/>
      <w:lvlText w:val="(%1)"/>
      <w:numFmt w:val="lowerLetter"/>
      <w:start w:val="1"/>
    </w:lvl>
  </w:abstractNum>
  <w:abstractNum w:abstractNumId="51">
    <w:nsid w:val="53299938"/>
    <w:multiLevelType w:val="hybridMultilevel"/>
    <w:lvl w:ilvl="0">
      <w:lvlJc w:val="left"/>
      <w:lvlText w:val="(%1)"/>
      <w:numFmt w:val="lowerLetter"/>
      <w:start w:val="1"/>
    </w:lvl>
    <w:lvl w:ilvl="1">
      <w:lvlJc w:val="left"/>
      <w:lvlText w:val="(%2)"/>
      <w:numFmt w:val="lowerRoman"/>
      <w:start w:val="1"/>
    </w:lvl>
  </w:abstractNum>
  <w:abstractNum w:abstractNumId="52">
    <w:nsid w:val="1FBFE8E0"/>
    <w:multiLevelType w:val="hybridMultilevel"/>
    <w:lvl w:ilvl="0">
      <w:lvlJc w:val="left"/>
      <w:lvlText w:val="%1"/>
      <w:numFmt w:val="lowerLetter"/>
      <w:start w:val="1"/>
    </w:lvl>
    <w:lvl w:ilvl="1">
      <w:lvlJc w:val="left"/>
      <w:lvlText w:val="(%2)"/>
      <w:numFmt w:val="lowerRoman"/>
      <w:start w:val="2"/>
    </w:lvl>
  </w:abstractNum>
  <w:abstractNum w:abstractNumId="53">
    <w:nsid w:val="5092CA79"/>
    <w:multiLevelType w:val="hybridMultilevel"/>
    <w:lvl w:ilvl="0">
      <w:lvlJc w:val="left"/>
      <w:lvlText w:val="(%1)"/>
      <w:numFmt w:val="lowerLetter"/>
      <w:start w:val="4"/>
    </w:lvl>
    <w:lvl w:ilvl="1">
      <w:lvlJc w:val="left"/>
      <w:lvlText w:val="%2"/>
      <w:numFmt w:val="lowerRoman"/>
      <w:start w:val="1"/>
    </w:lvl>
  </w:abstractNum>
  <w:abstractNum w:abstractNumId="54">
    <w:nsid w:val="1D545C4D"/>
    <w:multiLevelType w:val="hybridMultilevel"/>
    <w:lvl w:ilvl="0">
      <w:lvlJc w:val="left"/>
      <w:lvlText w:val="(%1)"/>
      <w:numFmt w:val="lowerLetter"/>
      <w:start w:val="1"/>
    </w:lvl>
  </w:abstractNum>
  <w:abstractNum w:abstractNumId="55">
    <w:nsid w:val="59ADEA3D"/>
    <w:multiLevelType w:val="hybridMultilevel"/>
    <w:lvl w:ilvl="0">
      <w:lvlJc w:val="left"/>
      <w:lvlText w:val="(%1)"/>
      <w:numFmt w:val="lowerLetter"/>
      <w:start w:val="5"/>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1)"/>
      <w:numFmt w:val="lowerLetter"/>
      <w:start w:val="3"/>
    </w:lvl>
  </w:abstractNum>
  <w:abstractNum w:abstractNumId="58">
    <w:nsid w:val="1D9F6E5F"/>
    <w:multiLevelType w:val="hybridMultilevel"/>
    <w:lvl w:ilvl="0">
      <w:lvlJc w:val="left"/>
      <w:lvlText w:val="(%1)"/>
      <w:numFmt w:val="lowerLetter"/>
      <w:start w:val="1"/>
    </w:lvl>
    <w:lvl w:ilvl="1">
      <w:lvlJc w:val="left"/>
      <w:lvlText w:val="(%2)"/>
      <w:numFmt w:val="lowerRoman"/>
      <w:start w:val="1"/>
    </w:lvl>
  </w:abstractNum>
  <w:abstractNum w:abstractNumId="59">
    <w:nsid w:val="97E1B4E"/>
    <w:multiLevelType w:val="hybridMultilevel"/>
    <w:lvl w:ilvl="0">
      <w:lvlJc w:val="left"/>
      <w:lvlText w:val="%1"/>
      <w:numFmt w:val="lowerLetter"/>
      <w:start w:val="1"/>
    </w:lvl>
    <w:lvl w:ilvl="1">
      <w:lvlJc w:val="left"/>
      <w:lvlText w:val="(%2)"/>
      <w:numFmt w:val="lowerLetter"/>
      <w:start w:val="61"/>
    </w:lvl>
  </w:abstractNum>
  <w:abstractNum w:abstractNumId="60">
    <w:nsid w:val="51088277"/>
    <w:multiLevelType w:val="hybridMultilevel"/>
    <w:lvl w:ilvl="0">
      <w:lvlJc w:val="left"/>
      <w:lvlText w:val="(%1)"/>
      <w:numFmt w:val="lowerLetter"/>
      <w:start w:val="2"/>
    </w:lvl>
    <w:lvl w:ilvl="1">
      <w:lvlJc w:val="left"/>
      <w:lvlText w:val="%2"/>
      <w:numFmt w:val="lowerLetter"/>
      <w:start w:val="1"/>
    </w:lvl>
  </w:abstractNum>
  <w:abstractNum w:abstractNumId="61">
    <w:nsid w:val="1CA0C5FA"/>
    <w:multiLevelType w:val="hybridMultilevel"/>
    <w:lvl w:ilvl="0">
      <w:lvlJc w:val="left"/>
      <w:lvlText w:val="(%1)"/>
      <w:numFmt w:val="lowerLetter"/>
      <w:start w:val="1"/>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9"/>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lowerLetter"/>
      <w:start w:val="6"/>
    </w:lvl>
  </w:abstractNum>
  <w:abstractNum w:abstractNumId="67">
    <w:nsid w:val="5C10FE21"/>
    <w:multiLevelType w:val="hybridMultilevel"/>
    <w:lvl w:ilvl="0">
      <w:lvlJc w:val="left"/>
      <w:lvlText w:val="(%1)"/>
      <w:numFmt w:val="lowerLetter"/>
      <w:start w:val="10"/>
    </w:lvl>
  </w:abstractNum>
  <w:abstractNum w:abstractNumId="68">
    <w:nsid w:val="E7FFA2B"/>
    <w:multiLevelType w:val="hybridMultilevel"/>
    <w:lvl w:ilvl="0">
      <w:lvlJc w:val="left"/>
      <w:lvlText w:val="(%1)"/>
      <w:numFmt w:val="lowerLetter"/>
      <w:start w:val="1"/>
    </w:lvl>
  </w:abstractNum>
  <w:abstractNum w:abstractNumId="69">
    <w:nsid w:val="3C5991AA"/>
    <w:multiLevelType w:val="hybridMultilevel"/>
    <w:lvl w:ilvl="0">
      <w:lvlJc w:val="left"/>
      <w:lvlText w:val="(%1)"/>
      <w:numFmt w:val="lowerLetter"/>
      <w:start w:val="3"/>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lowerLetter"/>
      <w:start w:val="1"/>
    </w:lvl>
    <w:lvl w:ilvl="1">
      <w:lvlJc w:val="left"/>
      <w:lvlText w:val="["/>
      <w:numFmt w:val="bullet"/>
      <w:start w:val="1"/>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1"/>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1"/>
    </w:lvl>
  </w:abstractNum>
  <w:abstractNum w:abstractNumId="76">
    <w:nsid w:val="69E373"/>
    <w:multiLevelType w:val="hybridMultilevel"/>
    <w:lvl w:ilvl="0">
      <w:lvlJc w:val="left"/>
      <w:lvlText w:val="(%1)"/>
      <w:numFmt w:val="lowerLetter"/>
      <w:start w:val="4"/>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5"/>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4"/>
    </w:lvl>
  </w:abstractNum>
  <w:abstractNum w:abstractNumId="81">
    <w:nsid w:val="5675FF36"/>
    <w:multiLevelType w:val="hybridMultilevel"/>
    <w:lvl w:ilvl="0">
      <w:lvlJc w:val="left"/>
      <w:lvlText w:val="(%1)"/>
      <w:numFmt w:val="lowerRoman"/>
      <w:start w:val="1"/>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1)"/>
      <w:numFmt w:val="lowerLetter"/>
      <w:start w:val="2"/>
    </w:lvl>
  </w:abstractNum>
  <w:abstractNum w:abstractNumId="84">
    <w:nsid w:val="2708C9AF"/>
    <w:multiLevelType w:val="hybridMultilevel"/>
    <w:lvl w:ilvl="0">
      <w:lvlJc w:val="left"/>
      <w:lvlText w:val="(%1)"/>
      <w:numFmt w:val="lowerRoman"/>
      <w:start w:val="1"/>
    </w:lvl>
  </w:abstractNum>
  <w:abstractNum w:abstractNumId="85">
    <w:nsid w:val="5B25ACE2"/>
    <w:multiLevelType w:val="hybridMultilevel"/>
    <w:lvl w:ilvl="0">
      <w:lvlJc w:val="left"/>
      <w:lvlText w:val="%1."/>
      <w:numFmt w:val="decimal"/>
      <w:start w:val="1"/>
    </w:lvl>
  </w:abstractNum>
  <w:abstractNum w:abstractNumId="86">
    <w:nsid w:val="175DFCF0"/>
    <w:multiLevelType w:val="hybridMultilevel"/>
    <w:lvl w:ilvl="0">
      <w:lvlJc w:val="left"/>
      <w:lvlText w:val="%1."/>
      <w:numFmt w:val="decimal"/>
      <w:start w:val="4"/>
    </w:lvl>
  </w:abstractNum>
  <w:abstractNum w:abstractNumId="87">
    <w:nsid w:val="4F97E3E4"/>
    <w:multiLevelType w:val="hybridMultilevel"/>
    <w:lvl w:ilvl="0">
      <w:lvlJc w:val="left"/>
      <w:lvlText w:val="(%1)"/>
      <w:numFmt w:val="lowerRoman"/>
      <w:start w:val="1"/>
    </w:lvl>
  </w:abstractNum>
  <w:abstractNum w:abstractNumId="88">
    <w:nsid w:val="53B0A9E"/>
    <w:multiLevelType w:val="hybridMultilevel"/>
    <w:lvl w:ilvl="0">
      <w:lvlJc w:val="left"/>
      <w:lvlText w:val="%1."/>
      <w:numFmt w:val="decimal"/>
      <w:start w:val="1"/>
    </w:lvl>
  </w:abstractNum>
  <w:abstractNum w:abstractNumId="89">
    <w:nsid w:val="34FD6B4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90">
    <w:nsid w:val="5915FF3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91">
    <w:nsid w:val="56438D15"/>
    <w:multiLevelType w:val="hybridMultilevel"/>
    <w:lvl w:ilvl="0">
      <w:lvlJc w:val="left"/>
      <w:lvlText w:val="(%1)"/>
      <w:numFmt w:val="lowerRoman"/>
      <w:start w:val="2"/>
    </w:lvl>
  </w:abstractNum>
  <w:abstractNum w:abstractNumId="92">
    <w:nsid w:val="519E3149"/>
    <w:multiLevelType w:val="hybridMultilevel"/>
    <w:lvl w:ilvl="0">
      <w:lvlJc w:val="left"/>
      <w:lvlText w:val="%1"/>
      <w:numFmt w:val="lowerRoman"/>
      <w:start w:val="1"/>
    </w:lvl>
    <w:lvl w:ilvl="1">
      <w:lvlJc w:val="left"/>
      <w:lvlText w:val="(%2)"/>
      <w:numFmt w:val="lowerRoman"/>
      <w:start w:val="7"/>
    </w:lvl>
  </w:abstractNum>
  <w:abstractNum w:abstractNumId="93">
    <w:nsid w:val="2C6E4AFD"/>
    <w:multiLevelType w:val="hybridMultilevel"/>
    <w:lvl w:ilvl="0">
      <w:lvlJc w:val="left"/>
      <w:lvlText w:val="(%1)"/>
      <w:numFmt w:val="lowerRoman"/>
      <w:start w:val="4"/>
    </w:lvl>
    <w:lvl w:ilvl="1">
      <w:lvlJc w:val="left"/>
      <w:lvlText w:val="%2"/>
      <w:numFmt w:val="lowerRoman"/>
      <w:start w:val="1"/>
    </w:lvl>
  </w:abstractNum>
  <w:abstractNum w:abstractNumId="94">
    <w:nsid w:val="17A1B582"/>
    <w:multiLevelType w:val="hybridMultilevel"/>
    <w:lvl w:ilvl="0">
      <w:lvlJc w:val="left"/>
      <w:lvlText w:val="%1"/>
      <w:numFmt w:val="lowerLetter"/>
      <w:start w:val="1"/>
    </w:lvl>
    <w:lvl w:ilvl="1">
      <w:lvlJc w:val="left"/>
      <w:lvlText w:val="(%2)"/>
      <w:numFmt w:val="lowerLetter"/>
      <w:start w:val="24"/>
    </w:lvl>
  </w:abstractNum>
  <w:abstractNum w:abstractNumId="95">
    <w:nsid w:val="4DF72E4E"/>
    <w:multiLevelType w:val="hybridMultilevel"/>
    <w:lvl w:ilvl="0">
      <w:lvlJc w:val="left"/>
      <w:lvlText w:val="(%1)"/>
      <w:numFmt w:val="lowerLetter"/>
      <w:start w:val="3"/>
    </w:lvl>
    <w:lvl w:ilvl="1">
      <w:lvlJc w:val="left"/>
      <w:lvlText w:val="%2"/>
      <w:numFmt w:val="lowerLetter"/>
      <w:start w:val="1"/>
    </w:lvl>
  </w:abstractNum>
  <w:abstractNum w:abstractNumId="96">
    <w:nsid w:val="5046B5A9"/>
    <w:multiLevelType w:val="hybridMultilevel"/>
    <w:lvl w:ilvl="0">
      <w:lvlJc w:val="left"/>
      <w:lvlText w:val="%1"/>
      <w:numFmt w:val="decimal"/>
      <w:start w:val="1"/>
    </w:lvl>
    <w:lvl w:ilvl="1">
      <w:lvlJc w:val="left"/>
      <w:lvlText w:val="(%2)"/>
      <w:numFmt w:val="lowerLetter"/>
      <w:start w:val="4"/>
    </w:lvl>
  </w:abstractNum>
  <w:abstractNum w:abstractNumId="97">
    <w:nsid w:val="5D888A08"/>
    <w:multiLevelType w:val="hybridMultilevel"/>
    <w:lvl w:ilvl="0">
      <w:lvlJc w:val="left"/>
      <w:lvlText w:val="%1."/>
      <w:numFmt w:val="decimal"/>
      <w:start w:val="3"/>
    </w:lvl>
    <w:lvl w:ilvl="1">
      <w:lvlJc w:val="left"/>
      <w:lvlText w:val="(%2)"/>
      <w:numFmt w:val="lowerLetter"/>
      <w:start w:val="1"/>
    </w:lvl>
  </w:abstractNum>
  <w:abstractNum w:abstractNumId="98">
    <w:nsid w:val="2A082C70"/>
    <w:multiLevelType w:val="hybridMultilevel"/>
    <w:lvl w:ilvl="0">
      <w:lvlJc w:val="left"/>
      <w:lvlText w:val="(%1)"/>
      <w:numFmt w:val="lowerLetter"/>
      <w:start w:val="2"/>
    </w:lvl>
  </w:abstractNum>
  <w:abstractNum w:abstractNumId="99">
    <w:nsid w:val="5EC6AFD4"/>
    <w:multiLevelType w:val="hybridMultilevel"/>
    <w:lvl w:ilvl="0">
      <w:lvlJc w:val="left"/>
      <w:lvlText w:val="(%1)"/>
      <w:numFmt w:val="lowerLetter"/>
      <w:start w:val="4"/>
    </w:lvl>
  </w:abstractNum>
  <w:abstractNum w:abstractNumId="100">
    <w:nsid w:val="19E21BB2"/>
    <w:multiLevelType w:val="hybridMultilevel"/>
    <w:lvl w:ilvl="0">
      <w:lvlJc w:val="left"/>
      <w:lvlText w:val="(%1)"/>
      <w:numFmt w:val="lowerLetter"/>
      <w:start w:val="7"/>
    </w:lvl>
  </w:abstractNum>
  <w:abstractNum w:abstractNumId="101">
    <w:nsid w:val="75E0858A"/>
    <w:multiLevelType w:val="hybridMultilevel"/>
    <w:lvl w:ilvl="0">
      <w:lvlJc w:val="left"/>
      <w:lvlText w:val="(%1)"/>
      <w:numFmt w:val="lowerLetter"/>
      <w:start w:val="9"/>
    </w:lvl>
  </w:abstractNum>
  <w:abstractNum w:abstractNumId="102">
    <w:nsid w:val="57A61A29"/>
    <w:multiLevelType w:val="hybridMultilevel"/>
    <w:lvl w:ilvl="0">
      <w:lvlJc w:val="left"/>
      <w:lvlText w:val="(%1)"/>
      <w:numFmt w:val="lowerLetter"/>
      <w:start w:val="12"/>
    </w:lvl>
  </w:abstractNum>
  <w:abstractNum w:abstractNumId="103">
    <w:nsid w:val="5399C654"/>
    <w:multiLevelType w:val="hybridMultilevel"/>
    <w:lvl w:ilvl="0">
      <w:lvlJc w:val="left"/>
      <w:lvlText w:val="(%1)"/>
      <w:numFmt w:val="lowerLetter"/>
      <w:start w:val="15"/>
    </w:lvl>
  </w:abstractNum>
  <w:abstractNum w:abstractNumId="104">
    <w:nsid w:val="20EE1348"/>
    <w:multiLevelType w:val="hybridMultilevel"/>
    <w:lvl w:ilvl="0">
      <w:lvlJc w:val="left"/>
      <w:lvlText w:val="(%1)"/>
      <w:numFmt w:val="lowerLetter"/>
      <w:start w:val="18"/>
    </w:lvl>
  </w:abstractNum>
  <w:abstractNum w:abstractNumId="105">
    <w:nsid w:val="4427069A"/>
    <w:multiLevelType w:val="hybridMultilevel"/>
    <w:lvl w:ilvl="0">
      <w:lvlJc w:val="left"/>
      <w:lvlText w:val="(%1)"/>
      <w:numFmt w:val="lowerLetter"/>
      <w:start w:val="21"/>
    </w:lvl>
  </w:abstractNum>
  <w:abstractNum w:abstractNumId="106">
    <w:nsid w:val="B37E80A"/>
    <w:multiLevelType w:val="hybridMultilevel"/>
    <w:lvl w:ilvl="0">
      <w:lvlJc w:val="left"/>
      <w:lvlText w:val="(%1)"/>
      <w:numFmt w:val="lowerLetter"/>
      <w:start w:val="23"/>
    </w:lvl>
  </w:abstractNum>
  <w:abstractNum w:abstractNumId="107">
    <w:nsid w:val="2157F6BC"/>
    <w:multiLevelType w:val="hybridMultilevel"/>
    <w:lvl w:ilvl="0">
      <w:lvlJc w:val="left"/>
      <w:lvlText w:val="(%1)"/>
      <w:numFmt w:val="lowerLetter"/>
      <w:start w:val="26"/>
    </w:lvl>
  </w:abstractNum>
  <w:abstractNum w:abstractNumId="108">
    <w:nsid w:val="704E1DD5"/>
    <w:multiLevelType w:val="hybridMultilevel"/>
    <w:lvl w:ilvl="0">
      <w:lvlJc w:val="left"/>
      <w:lvlText w:val="(%1)"/>
      <w:numFmt w:val="lowerLetter"/>
      <w:start w:val="27"/>
    </w:lvl>
  </w:abstractNum>
  <w:abstractNum w:abstractNumId="109">
    <w:nsid w:val="57D2F10E"/>
    <w:multiLevelType w:val="hybridMultilevel"/>
    <w:lvl w:ilvl="0">
      <w:lvlJc w:val="left"/>
      <w:lvlText w:val="%1"/>
      <w:numFmt w:val="lowerLetter"/>
      <w:start w:val="1"/>
    </w:lvl>
    <w:lvl w:ilvl="1">
      <w:lvlJc w:val="left"/>
      <w:lvlText w:val="(%2)"/>
      <w:numFmt w:val="lowerLetter"/>
      <w:start w:val="31"/>
    </w:lvl>
  </w:abstractNum>
  <w:abstractNum w:abstractNumId="110">
    <w:nsid w:val="BFFAE18"/>
    <w:multiLevelType w:val="hybridMultilevel"/>
    <w:lvl w:ilvl="0">
      <w:lvlJc w:val="left"/>
      <w:lvlText w:val="(%1)"/>
      <w:numFmt w:val="lowerLetter"/>
      <w:start w:val="61"/>
    </w:lvl>
    <w:lvl w:ilvl="1">
      <w:lvlJc w:val="left"/>
      <w:lvlText w:val="(%2)"/>
      <w:numFmt w:val="lowerLetter"/>
      <w:start w:val="33"/>
    </w:lvl>
  </w:abstractNum>
  <w:abstractNum w:abstractNumId="111">
    <w:nsid w:val="E3E47A8"/>
    <w:multiLevelType w:val="hybridMultilevel"/>
    <w:lvl w:ilvl="0">
      <w:lvlJc w:val="left"/>
      <w:lvlText w:val="(%1)"/>
      <w:numFmt w:val="lowerLetter"/>
      <w:start w:val="35"/>
    </w:lvl>
  </w:abstractNum>
  <w:abstractNum w:abstractNumId="112">
    <w:nsid w:val="2E48F044"/>
    <w:multiLevelType w:val="hybridMultilevel"/>
    <w:lvl w:ilvl="0">
      <w:lvlJc w:val="left"/>
      <w:lvlText w:val="%1"/>
      <w:numFmt w:val="lowerLetter"/>
      <w:start w:val="1"/>
    </w:lvl>
    <w:lvl w:ilvl="1">
      <w:lvlJc w:val="left"/>
      <w:lvlText w:val="(%2)"/>
      <w:numFmt w:val="lowerLetter"/>
      <w:start w:val="39"/>
    </w:lvl>
  </w:abstractNum>
  <w:abstractNum w:abstractNumId="113">
    <w:nsid w:val="49D0FEAC"/>
    <w:multiLevelType w:val="hybridMultilevel"/>
    <w:lvl w:ilvl="0">
      <w:lvlJc w:val="left"/>
      <w:lvlText w:val="(%1)"/>
      <w:numFmt w:val="lowerLetter"/>
      <w:start w:val="61"/>
    </w:lvl>
    <w:lvl w:ilvl="1">
      <w:lvlJc w:val="left"/>
      <w:lvlText w:val="(%2)"/>
      <w:numFmt w:val="lowerLetter"/>
      <w:start w:val="41"/>
    </w:lvl>
  </w:abstractNum>
  <w:abstractNum w:abstractNumId="114">
    <w:nsid w:val="4BEE5A5B"/>
    <w:multiLevelType w:val="hybridMultilevel"/>
    <w:lvl w:ilvl="0">
      <w:lvlJc w:val="left"/>
      <w:lvlText w:val="(%1)"/>
      <w:numFmt w:val="lowerLetter"/>
      <w:start w:val="42"/>
    </w:lvl>
  </w:abstractNum>
  <w:abstractNum w:abstractNumId="115">
    <w:nsid w:val="5551B9F3"/>
    <w:multiLevelType w:val="hybridMultilevel"/>
    <w:lvl w:ilvl="0">
      <w:lvlJc w:val="left"/>
      <w:lvlText w:val="%1"/>
      <w:numFmt w:val="decimal"/>
      <w:start w:val="1"/>
    </w:lvl>
    <w:lvl w:ilvl="1">
      <w:lvlJc w:val="left"/>
      <w:lvlText w:val="(%2)"/>
      <w:numFmt w:val="lowerLetter"/>
      <w:start w:val="48"/>
    </w:lvl>
  </w:abstractNum>
  <w:abstractNum w:abstractNumId="116">
    <w:nsid w:val="24F6AB8E"/>
    <w:multiLevelType w:val="hybridMultilevel"/>
    <w:lvl w:ilvl="0">
      <w:lvlJc w:val="left"/>
      <w:lvlText w:val="%1."/>
      <w:numFmt w:val="decimal"/>
      <w:start w:val="4"/>
    </w:lvl>
    <w:lvl w:ilvl="1">
      <w:lvlJc w:val="left"/>
      <w:lvlText w:val="(%2)"/>
      <w:numFmt w:val="lowerLetter"/>
      <w:start w:val="1"/>
    </w:lvl>
  </w:abstractNum>
  <w:abstractNum w:abstractNumId="117">
    <w:nsid w:val="634C574C"/>
    <w:multiLevelType w:val="hybridMultilevel"/>
    <w:lvl w:ilvl="0">
      <w:lvlJc w:val="left"/>
      <w:lvlText w:val="%1"/>
      <w:numFmt w:val="lowerLetter"/>
      <w:start w:val="1"/>
    </w:lvl>
    <w:lvl w:ilvl="1">
      <w:lvlJc w:val="left"/>
      <w:lvlText w:val="(%2)"/>
      <w:numFmt w:val="lowerLetter"/>
      <w:start w:val="2"/>
    </w:lvl>
  </w:abstractNum>
  <w:abstractNum w:abstractNumId="118">
    <w:nsid w:val="24E99DD7"/>
    <w:multiLevelType w:val="hybridMultilevel"/>
    <w:lvl w:ilvl="0">
      <w:lvlJc w:val="left"/>
      <w:lvlText w:val="(%1)"/>
      <w:numFmt w:val="lowerLetter"/>
      <w:start w:val="61"/>
    </w:lvl>
    <w:lvl w:ilvl="1">
      <w:lvlJc w:val="left"/>
      <w:lvlText w:val="(%2)"/>
      <w:numFmt w:val="lowerLetter"/>
      <w:start w:val="3"/>
    </w:lvl>
  </w:abstractNum>
  <w:abstractNum w:abstractNumId="119">
    <w:nsid w:val="2A31B62D"/>
    <w:multiLevelType w:val="hybridMultilevel"/>
    <w:lvl w:ilvl="0">
      <w:lvlJc w:val="left"/>
      <w:lvlText w:val="(%1)"/>
      <w:numFmt w:val="lowerLetter"/>
      <w:start w:val="9"/>
    </w:lvl>
    <w:lvl w:ilvl="1">
      <w:lvlJc w:val="left"/>
      <w:lvlText w:val="(%2)"/>
      <w:numFmt w:val="lowerLetter"/>
      <w:start w:val="4"/>
    </w:lvl>
  </w:abstractNum>
  <w:abstractNum w:abstractNumId="120">
    <w:nsid w:val="1849C29B"/>
    <w:multiLevelType w:val="hybridMultilevel"/>
    <w:lvl w:ilvl="0">
      <w:lvlJc w:val="left"/>
      <w:lvlText w:val="(%1)"/>
      <w:numFmt w:val="lowerLetter"/>
      <w:start w:val="5"/>
    </w:lvl>
  </w:abstractNum>
  <w:abstractNum w:abstractNumId="121">
    <w:nsid w:val="7DFF9D09"/>
    <w:multiLevelType w:val="hybridMultilevel"/>
    <w:lvl w:ilvl="0">
      <w:lvlJc w:val="left"/>
      <w:lvlText w:val="(%1)"/>
      <w:numFmt w:val="lowerLetter"/>
      <w:start w:val="9"/>
    </w:lvl>
  </w:abstractNum>
  <w:abstractNum w:abstractNumId="122">
    <w:nsid w:val="754342"/>
    <w:multiLevelType w:val="hybridMultilevel"/>
    <w:lvl w:ilvl="0">
      <w:lvlJc w:val="left"/>
      <w:lvlText w:val="(%1)"/>
      <w:numFmt w:val="lowerLetter"/>
      <w:start w:val="12"/>
    </w:lvl>
  </w:abstractNum>
  <w:abstractNum w:abstractNumId="123">
    <w:nsid w:val="69E7F3E5"/>
    <w:multiLevelType w:val="hybridMultilevel"/>
    <w:lvl w:ilvl="0">
      <w:lvlJc w:val="left"/>
      <w:lvlText w:val="(%1)"/>
      <w:numFmt w:val="lowerLetter"/>
      <w:start w:val="14"/>
    </w:lvl>
  </w:abstractNum>
  <w:abstractNum w:abstractNumId="124">
    <w:nsid w:val="2A6DE806"/>
    <w:multiLevelType w:val="hybridMultilevel"/>
    <w:lvl w:ilvl="0">
      <w:lvlJc w:val="left"/>
      <w:lvlText w:val="(%1)"/>
      <w:numFmt w:val="lowerLetter"/>
      <w:start w:val="20"/>
    </w:lvl>
  </w:abstractNum>
  <w:abstractNum w:abstractNumId="125">
    <w:nsid w:val="1816F8C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26">
    <w:nsid w:val="37DF2233"/>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27">
    <w:nsid w:val="7AB49DA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8">
    <w:nsid w:val="759F82CD"/>
    <w:multiLevelType w:val="hybridMultilevel"/>
    <w:lvl w:ilvl="0">
      <w:lvlJc w:val="left"/>
      <w:lvlText w:val="(%1)"/>
      <w:numFmt w:val="lowerLetter"/>
      <w:start w:val="2"/>
    </w:lvl>
    <w:lvl w:ilvl="1">
      <w:lvlJc w:val="left"/>
      <w:lvlText w:val="(%2)"/>
      <w:numFmt w:val="lowerRoman"/>
      <w:start w:val="1"/>
    </w:lvl>
  </w:abstractNum>
  <w:abstractNum w:abstractNumId="129">
    <w:nsid w:val="61E74EA3"/>
    <w:multiLevelType w:val="hybridMultilevel"/>
    <w:lvl w:ilvl="0">
      <w:lvlJc w:val="left"/>
      <w:lvlText w:val="(%1)"/>
      <w:numFmt w:val="lowerLetter"/>
      <w:start w:val="5"/>
    </w:lvl>
  </w:abstractNum>
  <w:abstractNum w:abstractNumId="130">
    <w:nsid w:val="597B4D84"/>
    <w:multiLevelType w:val="hybridMultilevel"/>
    <w:lvl w:ilvl="0">
      <w:lvlJc w:val="left"/>
      <w:lvlText w:val="%1."/>
      <w:numFmt w:val="decimal"/>
      <w:start w:val="7"/>
    </w:lvl>
    <w:lvl w:ilvl="1">
      <w:lvlJc w:val="left"/>
      <w:lvlText w:val="(%2)"/>
      <w:numFmt w:val="lowerLetter"/>
      <w:start w:val="1"/>
    </w:lvl>
  </w:abstractNum>
  <w:abstractNum w:abstractNumId="131">
    <w:nsid w:val="F819E7F"/>
    <w:multiLevelType w:val="hybridMultilevel"/>
    <w:lvl w:ilvl="0">
      <w:lvlJc w:val="left"/>
      <w:lvlText w:val="(%1)"/>
      <w:numFmt w:val="lowerLetter"/>
      <w:start w:val="2"/>
    </w:lvl>
  </w:abstractNum>
  <w:abstractNum w:abstractNumId="132">
    <w:nsid w:val="57C7D42D"/>
    <w:multiLevelType w:val="hybridMultilevel"/>
    <w:lvl w:ilvl="0">
      <w:lvlJc w:val="left"/>
      <w:lvlText w:val="%1"/>
      <w:numFmt w:val="decimal"/>
      <w:start w:val="1"/>
    </w:lvl>
    <w:lvl w:ilvl="1">
      <w:lvlJc w:val="left"/>
      <w:lvlText w:val="(%2)"/>
      <w:numFmt w:val="lowerLetter"/>
      <w:start w:val="4"/>
    </w:lvl>
  </w:abstractNum>
  <w:abstractNum w:abstractNumId="133">
    <w:nsid w:val="312167AD"/>
    <w:multiLevelType w:val="hybridMultilevel"/>
    <w:lvl w:ilvl="0">
      <w:lvlJc w:val="left"/>
      <w:lvlText w:val="%1."/>
      <w:numFmt w:val="decimal"/>
      <w:start w:val="8"/>
    </w:lvl>
    <w:lvl w:ilvl="1">
      <w:lvlJc w:val="left"/>
      <w:lvlText w:val="(%2)"/>
      <w:numFmt w:val="lowerLetter"/>
      <w:start w:val="1"/>
    </w:lvl>
  </w:abstractNum>
  <w:abstractNum w:abstractNumId="134">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35">
    <w:nsid w:val="78B5E776"/>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36">
    <w:nsid w:val="75486E4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37">
    <w:nsid w:val="6E534CDE"/>
    <w:multiLevelType w:val="hybridMultilevel"/>
    <w:lvl w:ilvl="0">
      <w:lvlJc w:val="left"/>
      <w:lvlText w:val="%1."/>
      <w:numFmt w:val="decimal"/>
      <w:start w:val="13"/>
    </w:lvl>
  </w:abstractNum>
  <w:abstractNum w:abstractNumId="138">
    <w:nsid w:val="1A0DDE32"/>
    <w:multiLevelType w:val="hybridMultilevel"/>
    <w:lvl w:ilvl="0">
      <w:lvlJc w:val="left"/>
      <w:lvlText w:val="%1."/>
      <w:numFmt w:val="decimal"/>
      <w:start w:val="17"/>
    </w:lvl>
  </w:abstractNum>
  <w:abstractNum w:abstractNumId="139">
    <w:nsid w:val="65968C1C"/>
    <w:multiLevelType w:val="hybridMultilevel"/>
    <w:lvl w:ilvl="0">
      <w:lvlJc w:val="left"/>
      <w:lvlText w:val="(%1)"/>
      <w:numFmt w:val="decimal"/>
      <w:start w:val="1"/>
    </w:lvl>
  </w:abstractNum>
  <w:abstractNum w:abstractNumId="140">
    <w:nsid w:val="46263DEC"/>
    <w:multiLevelType w:val="hybridMultilevel"/>
    <w:lvl w:ilvl="0">
      <w:lvlJc w:val="left"/>
      <w:lvlText w:val="(%1)"/>
      <w:numFmt w:val="lowerLetter"/>
      <w:start w:val="2"/>
    </w:lvl>
  </w:abstractNum>
  <w:abstractNum w:abstractNumId="141">
    <w:nsid w:val="260D8C4A"/>
    <w:multiLevelType w:val="hybridMultilevel"/>
    <w:lvl w:ilvl="0">
      <w:lvlJc w:val="left"/>
      <w:lvlText w:val="%1"/>
      <w:numFmt w:val="decimal"/>
      <w:start w:val="1"/>
    </w:lvl>
    <w:lvl w:ilvl="1">
      <w:lvlJc w:val="left"/>
      <w:lvlText w:val="(%2)"/>
      <w:numFmt w:val="lowerLetter"/>
      <w:start w:val="1"/>
    </w:lvl>
  </w:abstractNum>
  <w:abstractNum w:abstractNumId="142">
    <w:nsid w:val="73D4D3C4"/>
    <w:multiLevelType w:val="hybridMultilevel"/>
    <w:lvl w:ilvl="0">
      <w:lvlJc w:val="left"/>
      <w:lvlText w:val="(%1)"/>
      <w:numFmt w:val="decimal"/>
      <w:start w:val="2"/>
    </w:lvl>
    <w:lvl w:ilvl="1">
      <w:lvlJc w:val="left"/>
      <w:lvlText w:val="(%2)"/>
      <w:numFmt w:val="lowerLetter"/>
      <w:start w:val="2"/>
    </w:lvl>
  </w:abstractNum>
  <w:abstractNum w:abstractNumId="143">
    <w:nsid w:val="746F2E30"/>
    <w:multiLevelType w:val="hybridMultilevel"/>
    <w:lvl w:ilvl="0">
      <w:lvlJc w:val="left"/>
      <w:lvlText w:val="%1"/>
      <w:numFmt w:val="decimal"/>
      <w:start w:val="1"/>
    </w:lvl>
    <w:lvl w:ilvl="1">
      <w:lvlJc w:val="left"/>
      <w:lvlText w:val="(%2)"/>
      <w:numFmt w:val="lowerLetter"/>
      <w:start w:val="1"/>
    </w:lvl>
  </w:abstractNum>
  <w:abstractNum w:abstractNumId="144">
    <w:nsid w:val="6FDE8AF6"/>
    <w:multiLevelType w:val="hybridMultilevel"/>
    <w:lvl w:ilvl="0">
      <w:lvlJc w:val="left"/>
      <w:lvlText w:val="(%1)"/>
      <w:numFmt w:val="decimal"/>
      <w:start w:val="3"/>
    </w:lvl>
    <w:lvl w:ilvl="1">
      <w:lvlJc w:val="left"/>
      <w:lvlText w:val="(%2)"/>
      <w:numFmt w:val="lowerLetter"/>
      <w:start w:val="2"/>
    </w:lvl>
  </w:abstractNum>
  <w:abstractNum w:abstractNumId="145">
    <w:nsid w:val="3FC32E20"/>
    <w:multiLevelType w:val="hybridMultilevel"/>
    <w:lvl w:ilvl="0">
      <w:lvlJc w:val="left"/>
      <w:lvlText w:val="%1"/>
      <w:numFmt w:val="decimal"/>
      <w:start w:val="1"/>
    </w:lvl>
    <w:lvl w:ilvl="1">
      <w:lvlJc w:val="left"/>
      <w:lvlText w:val="(%2)"/>
      <w:numFmt w:val="lowerLetter"/>
      <w:start w:val="1"/>
    </w:lvl>
  </w:abstractNum>
  <w:abstractNum w:abstractNumId="146">
    <w:nsid w:val="49C0E823"/>
    <w:multiLevelType w:val="hybridMultilevel"/>
    <w:lvl w:ilvl="0">
      <w:lvlJc w:val="left"/>
      <w:lvlText w:val="(%1)"/>
      <w:numFmt w:val="decimal"/>
      <w:start w:val="4"/>
    </w:lvl>
    <w:lvl w:ilvl="1">
      <w:lvlJc w:val="left"/>
      <w:lvlText w:val="(%2)"/>
      <w:numFmt w:val="lowerLetter"/>
      <w:start w:val="2"/>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decimal"/>
      <w:start w:val="5"/>
    </w:lvl>
    <w:lvl w:ilvl="1">
      <w:lvlJc w:val="left"/>
      <w:lvlText w:val="(%2)"/>
      <w:numFmt w:val="lowerLetter"/>
      <w:start w:val="2"/>
    </w:lvl>
  </w:abstractNum>
  <w:abstractNum w:abstractNumId="149">
    <w:nsid w:val="6EAA85FB"/>
    <w:multiLevelType w:val="hybridMultilevel"/>
    <w:lvl w:ilvl="0">
      <w:lvlJc w:val="left"/>
      <w:lvlText w:val="(%1)"/>
      <w:numFmt w:val="lowerLetter"/>
      <w:start w:val="1"/>
    </w:lvl>
  </w:abstractNum>
  <w:abstractNum w:abstractNumId="150">
    <w:nsid w:val="3F06ECB2"/>
    <w:multiLevelType w:val="hybridMultilevel"/>
    <w:lvl w:ilvl="0">
      <w:lvlJc w:val="left"/>
      <w:lvlText w:val="(%1)"/>
      <w:numFmt w:val="decimal"/>
      <w:start w:val="6"/>
    </w:lvl>
    <w:lvl w:ilvl="1">
      <w:lvlJc w:val="left"/>
      <w:lvlText w:val="(%2)"/>
      <w:numFmt w:val="lowerLetter"/>
      <w:start w:val="2"/>
    </w:lvl>
  </w:abstractNum>
  <w:abstractNum w:abstractNumId="151">
    <w:nsid w:val="3B594807"/>
    <w:multiLevelType w:val="hybridMultilevel"/>
    <w:lvl w:ilvl="0">
      <w:lvlJc w:val="left"/>
      <w:lvlText w:val="%1"/>
      <w:numFmt w:val="decimal"/>
      <w:start w:val="1"/>
    </w:lvl>
    <w:lvl w:ilvl="1">
      <w:lvlJc w:val="left"/>
      <w:lvlText w:val="(%2)"/>
      <w:numFmt w:val="lowerLetter"/>
      <w:start w:val="1"/>
    </w:lvl>
  </w:abstractNum>
  <w:abstractNum w:abstractNumId="152">
    <w:nsid w:val="6CAA2304"/>
    <w:multiLevelType w:val="hybridMultilevel"/>
    <w:lvl w:ilvl="0">
      <w:lvlJc w:val="left"/>
      <w:lvlText w:val="(%1)"/>
      <w:numFmt w:val="decimal"/>
      <w:start w:val="7"/>
    </w:lvl>
    <w:lvl w:ilvl="1">
      <w:lvlJc w:val="left"/>
      <w:lvlText w:val="(%2)"/>
      <w:numFmt w:val="lowerLetter"/>
      <w:start w:val="2"/>
    </w:lvl>
  </w:abstractNum>
  <w:abstractNum w:abstractNumId="153">
    <w:nsid w:val="3F7C2FF4"/>
    <w:multiLevelType w:val="hybridMultilevel"/>
    <w:lvl w:ilvl="0">
      <w:lvlJc w:val="left"/>
      <w:lvlText w:val="(%1)"/>
      <w:numFmt w:val="lowerLetter"/>
      <w:start w:val="2"/>
    </w:lvl>
  </w:abstractNum>
  <w:abstractNum w:abstractNumId="154">
    <w:nsid w:val="25413BEC"/>
    <w:multiLevelType w:val="hybridMultilevel"/>
    <w:lvl w:ilvl="0">
      <w:lvlJc w:val="left"/>
      <w:lvlText w:val="(%1)"/>
      <w:numFmt w:val="decimal"/>
      <w:start w:val="8"/>
    </w:lvl>
  </w:abstractNum>
  <w:abstractNum w:abstractNumId="155">
    <w:nsid w:val="17180B0B"/>
    <w:multiLevelType w:val="hybridMultilevel"/>
    <w:lvl w:ilvl="0">
      <w:lvlJc w:val="left"/>
      <w:lvlText w:val="(%1)"/>
      <w:numFmt w:val="lowerLetter"/>
      <w:start w:val="2"/>
    </w:lvl>
  </w:abstractNum>
  <w:abstractNum w:abstractNumId="156">
    <w:nsid w:val="579328B9"/>
    <w:multiLevelType w:val="hybridMultilevel"/>
    <w:lvl w:ilvl="0">
      <w:lvlJc w:val="left"/>
      <w:lvlText w:val="(%1)"/>
      <w:numFmt w:val="lowerLetter"/>
      <w:start w:val="1"/>
    </w:lvl>
  </w:abstractNum>
  <w:abstractNum w:abstractNumId="157">
    <w:nsid w:val="5D205E20"/>
    <w:multiLevelType w:val="hybridMultilevel"/>
    <w:lvl w:ilvl="0">
      <w:lvlJc w:val="left"/>
      <w:lvlText w:val="(%1)"/>
      <w:numFmt w:val="decimal"/>
      <w:start w:val="9"/>
    </w:lvl>
  </w:abstractNum>
  <w:abstractNum w:abstractNumId="158">
    <w:nsid w:val="11CCA8B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jpeg"/><Relationship Id="rId122" Type="http://schemas.openxmlformats.org/officeDocument/2006/relationships/image" Target="media/image102.png"/><Relationship Id="rId123" Type="http://schemas.openxmlformats.org/officeDocument/2006/relationships/image" Target="media/image103.jpeg"/><Relationship Id="rId124" Type="http://schemas.openxmlformats.org/officeDocument/2006/relationships/image" Target="media/image104.png"/><Relationship Id="rId125" Type="http://schemas.openxmlformats.org/officeDocument/2006/relationships/image" Target="media/image105.jpeg"/><Relationship Id="rId126" Type="http://schemas.openxmlformats.org/officeDocument/2006/relationships/image" Target="media/image106.png"/><Relationship Id="rId127" Type="http://schemas.openxmlformats.org/officeDocument/2006/relationships/image" Target="media/image107.jpeg"/><Relationship Id="rId128" Type="http://schemas.openxmlformats.org/officeDocument/2006/relationships/image" Target="media/image108.png"/><Relationship Id="rId129" Type="http://schemas.openxmlformats.org/officeDocument/2006/relationships/image" Target="media/image109.jpeg"/><Relationship Id="rId130" Type="http://schemas.openxmlformats.org/officeDocument/2006/relationships/image" Target="media/image110.png"/><Relationship Id="rId131" Type="http://schemas.openxmlformats.org/officeDocument/2006/relationships/image" Target="media/image111.jpe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jpeg"/><Relationship Id="rId183" Type="http://schemas.openxmlformats.org/officeDocument/2006/relationships/image" Target="media/image163.jpeg"/><Relationship Id="rId184" Type="http://schemas.openxmlformats.org/officeDocument/2006/relationships/image" Target="media/image164.png"/><Relationship Id="rId185" Type="http://schemas.openxmlformats.org/officeDocument/2006/relationships/image" Target="media/image165.png"/><Relationship Id="rId42" Type="http://schemas.openxmlformats.org/officeDocument/2006/relationships/hyperlink" Target="https://www.sec.gov/ix?doc=/Archives/edgar/data/1963685/000121390025011327/ea0230367-10ka1_richtech.htm" TargetMode="External"/><Relationship Id="rId43" Type="http://schemas.openxmlformats.org/officeDocument/2006/relationships/hyperlink" Target="http://www.sec.gov/ix?doc=/Archives/edgar/data/1963685/000121390025019499/ea0232237-10ka2_richtech.htm" TargetMode="External"/><Relationship Id="rId44" Type="http://schemas.openxmlformats.org/officeDocument/2006/relationships/hyperlink" Target="http://www.sec.gov/Archives/edgar/data/1963685/000121390025014251/ea0230932-10q_richtech.htm" TargetMode="External"/><Relationship Id="rId45" Type="http://schemas.openxmlformats.org/officeDocument/2006/relationships/hyperlink" Target="https://www.sec.gov/Archives/edgar/data/1963685/000121390025043386/ea0241660-10q_richtech.htm" TargetMode="External"/><Relationship Id="rId46" Type="http://schemas.openxmlformats.org/officeDocument/2006/relationships/hyperlink" Target="https://www.sec.gov/Archives/edgar/data/1963685/000121390025074423/ea0252463-10q_richtech.htm" TargetMode="External"/><Relationship Id="rId47" Type="http://schemas.openxmlformats.org/officeDocument/2006/relationships/hyperlink" Target="https://www.sec.gov/Archives/edgar/data/1963685/000121390025044888/ea0242328-8k_richtech.htm" TargetMode="External"/><Relationship Id="rId48" Type="http://schemas.openxmlformats.org/officeDocument/2006/relationships/hyperlink" Target="https://www.sec.gov/Archives/edgar/data/1963685/000121390025045404/ea0242640-8k_richtech.htm" TargetMode="External"/><Relationship Id="rId49" Type="http://schemas.openxmlformats.org/officeDocument/2006/relationships/hyperlink" Target="https://www.sec.gov/Archives/edgar/data/1963685/000121390025059641/ea0247585-8k_richtech.htm" TargetMode="External"/><Relationship Id="rId50" Type="http://schemas.openxmlformats.org/officeDocument/2006/relationships/hyperlink" Target="https://www.sec.gov/Archives/edgar/data/1963685/000121390025080120/ea0254421-8k_richtech.htm" TargetMode="External"/><Relationship Id="rId51" Type="http://schemas.openxmlformats.org/officeDocument/2006/relationships/hyperlink" Target="https://www.sec.gov/Archives/edgar/data/1963685/000121390025081354/ea0254793-8k_richtech.htm" TargetMode="External"/><Relationship Id="rId52" Type="http://schemas.openxmlformats.org/officeDocument/2006/relationships/hyperlink" Target="https://www.sec.gov/Archives/edgar/data/1963685/000121390025082097/ea0255167-8k_richtech.htm" TargetMode="External"/><Relationship Id="rId53" Type="http://schemas.openxmlformats.org/officeDocument/2006/relationships/hyperlink" Target="https://www.sec.gov/Archives/edgar/data/1963685/000121390025088199/ea0257621-8k_richtech.htm" TargetMode="External"/><Relationship Id="rId54" Type="http://schemas.openxmlformats.org/officeDocument/2006/relationships/hyperlink" Target="https://www.sec.gov/Archives/edgar/data/1840856/000121390022011342/f10k2021ex4-6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2025-09-24T23:36:16Z</dcterms:created>
  <dcterms:modified xsi:type="dcterms:W3CDTF">2025-09-24T23:36:16Z</dcterms:modified>
</cp:coreProperties>
</file>