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2662-8k_richtech.htm"/>
      <w:bookmarkStart w:id="1" w:name="ksea02826628k_richtech"/>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3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March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2360"/>
        <w:gridCol w:w="60"/>
        <w:gridCol w:w="1145"/>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6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313"/>
            <w:bookmarkEnd w:id="6"/>
            <w:r>
              <w:rPr>
                <w:b/>
                <w:sz w:val="20"/>
              </w:rPr>
              <w:t>001-41866</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5_edei--EntityTaxIdentificationNum"/>
            <w:bookmarkEnd w:id="7"/>
            <w:r>
              <w:rPr>
                <w:b/>
                <w:sz w:val="20"/>
              </w:rPr>
              <w:t>88-2870106</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2975 Lincoln Rd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Las Vegas, </w:t>
      </w:r>
      <w:bookmarkStart w:id="10" w:name="xdx_90D_edei--EntityAddressStateOrProvin"/>
      <w:bookmarkEnd w:id="10"/>
      <w:r>
        <w:rPr>
          <w:rFonts w:ascii="Times New Roman;Times;Serif" w:hAnsi="Times New Roman;Times;Serif"/>
          <w:b/>
          <w:i w:val="false"/>
          <w:caps w:val="false"/>
          <w:smallCaps w:val="false"/>
          <w:sz w:val="20"/>
        </w:rPr>
        <w:t xml:space="preserve">NV </w:t>
      </w:r>
      <w:bookmarkStart w:id="11" w:name="xdx_90D_edei--EntityAddressPostalZipCode"/>
      <w:bookmarkEnd w:id="11"/>
      <w:r>
        <w:rPr>
          <w:rFonts w:ascii="Times New Roman;Times;Serif" w:hAnsi="Times New Roman;Times;Serif"/>
          <w:b/>
          <w:i w:val="false"/>
          <w:caps w:val="false"/>
          <w:smallCaps w:val="false"/>
          <w:sz w:val="20"/>
        </w:rPr>
        <w:t>89115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2_edei--CityAreaCode_c20260313__20"/>
      <w:bookmarkEnd w:id="12"/>
      <w:r>
        <w:rPr>
          <w:rFonts w:ascii="Times New Roman;Times;Serif" w:hAnsi="Times New Roman;Times;Serif"/>
          <w:b/>
          <w:i w:val="false"/>
          <w:caps w:val="false"/>
          <w:smallCaps w:val="false"/>
          <w:sz w:val="20"/>
        </w:rPr>
        <w:t xml:space="preserve">866) </w:t>
      </w:r>
      <w:bookmarkStart w:id="13" w:name="xdx_901_edei--LocalPhoneNumber_c20260313"/>
      <w:bookmarkEnd w:id="13"/>
      <w:r>
        <w:rPr>
          <w:rFonts w:ascii="Times New Roman;Times;Serif" w:hAnsi="Times New Roman;Times;Serif"/>
          <w:b/>
          <w:i w:val="false"/>
          <w:caps w:val="false"/>
          <w:smallCaps w:val="false"/>
          <w:sz w:val="20"/>
        </w:rPr>
        <w:t>236-3835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2_edei--SolicitingMaterial_c202603"/>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4460"/>
        <w:gridCol w:w="60"/>
        <w:gridCol w:w="1610"/>
        <w:gridCol w:w="60"/>
        <w:gridCol w:w="2675"/>
      </w:tblGrid>
      <w:tr>
        <w:trPr/>
        <w:tc>
          <w:tcPr>
            <w:tcW w:w="446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675" w:type="dxa"/>
            <w:tcBorders>
              <w:bottom w:val="single" w:sz="12" w:space="0" w:color="000000"/>
            </w:tcBorders>
            <w:vAlign w:val="center"/>
          </w:tcPr>
          <w:p>
            <w:pPr>
              <w:pStyle w:val="TableContents"/>
              <w:bidi w:val="0"/>
              <w:spacing w:before="0" w:after="283"/>
              <w:jc w:val="center"/>
              <w:rPr>
                <w:b/>
                <w:sz w:val="20"/>
              </w:rPr>
            </w:pPr>
            <w:r>
              <w:rPr>
                <w:b/>
                <w:sz w:val="20"/>
              </w:rPr>
              <w:t xml:space="preserve">Name of each exchange on </w:t>
              <w:br/>
              <w:t>which registered</w:t>
            </w:r>
          </w:p>
        </w:tc>
      </w:tr>
      <w:tr>
        <w:trPr/>
        <w:tc>
          <w:tcPr>
            <w:tcW w:w="4460" w:type="dxa"/>
            <w:tcBorders/>
            <w:shd w:fill="CCEEFF" w:val="clear"/>
            <w:tcMar>
              <w:bottom w:w="0" w:type="dxa"/>
            </w:tcMar>
            <w:vAlign w:val="center"/>
          </w:tcPr>
          <w:p>
            <w:pPr>
              <w:pStyle w:val="TableContents"/>
              <w:bidi w:val="0"/>
              <w:spacing w:before="0" w:after="283"/>
              <w:jc w:val="center"/>
              <w:rPr>
                <w:b/>
                <w:sz w:val="20"/>
              </w:rPr>
            </w:pPr>
            <w:bookmarkStart w:id="18" w:name="xdx_90C_edei--Security12bTitle_c20260313"/>
            <w:bookmarkEnd w:id="18"/>
            <w:r>
              <w:rPr>
                <w:b/>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bookmarkStart w:id="19" w:name="xdx_902_edei--TradingSymbol_c20260313__2"/>
            <w:bookmarkEnd w:id="19"/>
            <w:r>
              <w:rPr>
                <w:b/>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75"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6_edei--SecurityExchangeName_c2026"/>
            <w:bookmarkEnd w:id="20"/>
            <w:r>
              <w:rPr>
                <w:b/>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w:t>
      </w:r>
      <w:r>
        <w:rPr>
          <w:rFonts w:ascii="Times New Roman;Times;Serif" w:hAnsi="Times New Roman;Times;Serif"/>
          <w:b/>
          <w:i w:val="false"/>
          <w:caps w:val="false"/>
          <w:smallCaps w:val="false"/>
          <w:sz w:val="20"/>
        </w:rPr>
        <w:t>Dismissal Date</w:t>
      </w:r>
      <w:r>
        <w:rPr>
          <w:rFonts w:ascii="Times New Roman;Times;Serif" w:hAnsi="Times New Roman;Times;Serif"/>
          <w:b w:val="false"/>
          <w:i w:val="false"/>
          <w:caps w:val="false"/>
          <w:smallCaps w:val="false"/>
          <w:sz w:val="20"/>
        </w:rPr>
        <w:t>”), Richtech Robotics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terminated Bush &amp; Associates CPA LLC (“</w:t>
      </w:r>
      <w:r>
        <w:rPr>
          <w:rFonts w:ascii="Times New Roman;Times;Serif" w:hAnsi="Times New Roman;Times;Serif"/>
          <w:b/>
          <w:i w:val="false"/>
          <w:caps w:val="false"/>
          <w:smallCaps w:val="false"/>
          <w:sz w:val="20"/>
        </w:rPr>
        <w:t>Bush &amp; Associates</w:t>
      </w:r>
      <w:r>
        <w:rPr>
          <w:rFonts w:ascii="Times New Roman;Times;Serif" w:hAnsi="Times New Roman;Times;Serif"/>
          <w:b w:val="false"/>
          <w:i w:val="false"/>
          <w:caps w:val="false"/>
          <w:smallCaps w:val="false"/>
          <w:sz w:val="20"/>
        </w:rPr>
        <w:t>”) as its independent registered public accounting firm for the Company. The termination was approved by the Audit Committee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the Board of the Company. The change in independent registered public accounting firm is not the result of any disagreement with Bush &amp; Associates.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audit reports on the financial statements as of September 30, 2025 and September 30, 2024, respectively, did not provide an adverse opinion or disclaimer of opinion to the Company’s financial statements, nor did it modify its opinion as to uncertainty, audit scope or accounting principles.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September 30, 2024, and in the subsequent interim period through the Dismissal Date, there were no “disagreements” within the meaning of Item 304(a)(1)(iv) of Regulation S-K and the related instructions between the Company and Bush &amp; Associates on any matters of accounting principles or practices, financial statement disclosures or auditing scope or procedures which, if not resolved to Bush &amp; Associates’ satisfaction, would have caused Bush &amp; Associates to make reference thereto in its reports on the financial statements of the Company for such period.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September 30, 2025 and September 30, 2024, and the subsequent interim periods through the Dismissal Date, there were no reportable events (as that term is described in Item 304(a)(1)(v) of Regulation S-K), except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audit of the Company’s financial statements for the fiscal year ended September 30, 2025, Bush &amp; Associates advised the Company of the existence of a material weakness in internal controls over financial reporting related to the Company's design and operation of controls over complex accounting judgments and transaction processing. The Committee discussed the material weakness with Bush &amp; Associates, and the Company disclosed such material weakness in its Annual Report on Form 10-K for the fiscal year ended September 30, 2025 and concluded that as of September 30, 2025, internal control over financial reporting was not effective. During the fiscal quarter ended December 31, 2025, management implemented the following remedial measures to address the material weakness, including enhancements to internal controls, increased oversight and improved review procedures. The elements of the Company’s remediation plan can only be accomplished over time, and the management can offer no assurance that these initiatives will ultimately have the intended effects. The Company has authorized Bush &amp; Associates to respond fully to the inquiries of the Company’s successor independent public accounting firm concerning the material weakness described above.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Bush &amp; Associates with a copy of the disclosure it is making herein in response to Item 304(a) of Regulation S-K and requested that Bush &amp; Associates furnish the Company with a copy of their letter addressed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pursuant to Item 304(a)(3) of Regulation S-K, stating whether Bush &amp; Associates agrees with the statements made by the Company in this Current Report on Form 8-K in response to Item 304(a) of Regulation S-K and, if not, stating the respects in which it does not agree. The Company will submit a letter from Bush when available and file on a Form 8-K/A.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as approved and ratified by the Committee and the Board, the Company engaged CBIZ CPAs P.C. (“</w:t>
      </w:r>
      <w:r>
        <w:rPr>
          <w:rFonts w:ascii="Times New Roman;Times;Serif" w:hAnsi="Times New Roman;Times;Serif"/>
          <w:b/>
          <w:i w:val="false"/>
          <w:caps w:val="false"/>
          <w:smallCaps w:val="false"/>
          <w:sz w:val="20"/>
        </w:rPr>
        <w:t>CBIZ</w:t>
      </w:r>
      <w:r>
        <w:rPr>
          <w:rFonts w:ascii="Times New Roman;Times;Serif" w:hAnsi="Times New Roman;Times;Serif"/>
          <w:b w:val="false"/>
          <w:i w:val="false"/>
          <w:caps w:val="false"/>
          <w:smallCaps w:val="false"/>
          <w:sz w:val="20"/>
        </w:rPr>
        <w:t>”) as the Company’s independent public accounting firm to audit the Company’s financial statements for the fiscal year ending September 30, 2026 and to review the Company’s quarterly financial statements for the quarters ending March 31, 2026 and June 30, 2026.</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September 30, 2025, and in the subsequent interim period through the Dismissal Date, neither the Company nor anyone on its behalf consulted with CBIZ regarding: (i) the application of accounting principles to a specified transaction, either completed or proposed, or the type of audit opinion that might be rendered on the Company’s financial statements, and neither a written report nor oral advice was provided to the Company that CBIZ concluded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described in Item 304(a)(1)(v) of Regulation S-K).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w:t>
      </w:r>
    </w:p>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28" w:type="dxa"/>
          <w:right w:w="0" w:type="dxa"/>
        </w:tblCellMar>
      </w:tblPr>
      <w:tblGrid>
        <w:gridCol w:w="995"/>
        <w:gridCol w:w="60"/>
        <w:gridCol w:w="5990"/>
      </w:tblGrid>
      <w:tr>
        <w:trPr/>
        <w:tc>
          <w:tcPr>
            <w:tcW w:w="995"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99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90"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10"/>
        <w:gridCol w:w="320"/>
        <w:gridCol w:w="590"/>
        <w:gridCol w:w="2015"/>
      </w:tblGrid>
      <w:tr>
        <w:trPr/>
        <w:tc>
          <w:tcPr>
            <w:tcW w:w="1910" w:type="dxa"/>
            <w:tcBorders/>
            <w:vAlign w:val="center"/>
          </w:tcPr>
          <w:p>
            <w:pPr>
              <w:pStyle w:val="TableContents"/>
              <w:bidi w:val="0"/>
              <w:spacing w:before="0" w:after="283"/>
              <w:jc w:val="left"/>
              <w:rPr/>
            </w:pPr>
            <w:r>
              <w:rPr/>
              <w:t> </w:t>
            </w:r>
          </w:p>
        </w:tc>
        <w:tc>
          <w:tcPr>
            <w:tcW w:w="2925" w:type="dxa"/>
            <w:gridSpan w:val="3"/>
            <w:tcBorders/>
            <w:vAlign w:val="center"/>
          </w:tcPr>
          <w:p>
            <w:pPr>
              <w:pStyle w:val="TableContents"/>
              <w:bidi w:val="0"/>
              <w:spacing w:before="0" w:after="283"/>
              <w:jc w:val="left"/>
              <w:rPr>
                <w:b/>
                <w:sz w:val="20"/>
              </w:rPr>
            </w:pPr>
            <w:r>
              <w:rPr>
                <w:b/>
                <w:sz w:val="20"/>
              </w:rPr>
              <w:t>RICHTECH ROBOTICS INC.</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605"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/s/ Zhenwu (Wayne) Huang</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015" w:type="dxa"/>
            <w:tcBorders/>
            <w:vAlign w:val="center"/>
          </w:tcPr>
          <w:p>
            <w:pPr>
              <w:pStyle w:val="TableContents"/>
              <w:bidi w:val="0"/>
              <w:spacing w:before="0" w:after="283"/>
              <w:jc w:val="left"/>
              <w:rPr>
                <w:sz w:val="20"/>
              </w:rPr>
            </w:pPr>
            <w:r>
              <w:rPr>
                <w:sz w:val="20"/>
              </w:rPr>
              <w:t>Zhenwu (Wayne) Huang</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015" w:type="dxa"/>
            <w:tcBorders/>
            <w:vAlign w:val="center"/>
          </w:tcPr>
          <w:p>
            <w:pPr>
              <w:pStyle w:val="TableContents"/>
              <w:bidi w:val="0"/>
              <w:spacing w:before="0" w:after="283"/>
              <w:jc w:val="left"/>
              <w:rPr>
                <w:sz w:val="20"/>
              </w:rPr>
            </w:pPr>
            <w:r>
              <w:rPr>
                <w:sz w:val="20"/>
              </w:rPr>
              <w:t xml:space="preserve">Chief Executive Officer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20"/>
              </w:rPr>
            </w:pPr>
            <w:r>
              <w:rPr>
                <w:sz w:val="20"/>
              </w:rPr>
              <w:t>Dated: March 19, 2026</w:t>
            </w:r>
          </w:p>
        </w:tc>
        <w:tc>
          <w:tcPr>
            <w:tcW w:w="320"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1134</Words>
  <Characters>6158</Characters>
  <CharactersWithSpaces>7299</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