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bookmarkStart w:id="0" w:name="ea0304881-posex_richtech.htm"/>
      <w:bookmarkStart w:id="1" w:name="ksea0304881posex_richtech"/>
      <w:bookmarkEnd w:id="0"/>
      <w:bookmarkEnd w:id="1"/>
      <w:r>
        <w:rPr>
          <w:rFonts w:ascii="Times New Roman;Times;Serif" w:hAnsi="Times New Roman;Times;Serif"/>
          <w:b/>
          <w:i w:val="false"/>
          <w:caps w:val="false"/>
          <w:smallCaps w:val="false"/>
          <w:sz w:val="20"/>
        </w:rPr>
        <w:t>As filed with the Securities and Exchange Commission on September 9, 2026</w:t>
      </w:r>
    </w:p>
    <w:p>
      <w:pPr>
        <w:pStyle w:val="TextBody"/>
        <w:bidi w:val="0"/>
        <w:spacing w:before="0" w:after="0"/>
        <w:ind w:left="10" w:right="36" w:hanging="1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Registration No. 333-293535</w:t>
      </w:r>
    </w:p>
    <w:p>
      <w:pPr>
        <w:pStyle w:val="TextBody"/>
        <w:bidi w:val="0"/>
        <w:ind w:left="0" w:right="0" w:hanging="0"/>
        <w:jc w:val="left"/>
        <w:rPr>
          <w:bdr w:val="single" w:sz="16" w:space="1" w:color="000000"/>
        </w:rPr>
      </w:pPr>
      <w:r>
        <w:rPr>
          <w:bdr w:val="single" w:sz="16" w:space="1" w:color="000000"/>
        </w:rPr>
        <w:t> </w:t>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UNITED STATES</w:t>
        <w:br/>
        <w:t>SECURITIES AND EXCHANGE COMMISSION</w:t>
        <w:b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bdr w:val="single" w:sz="12" w:space="1" w:color="000000"/>
        </w:rPr>
      </w:pPr>
      <w:r>
        <w:rPr>
          <w:bdr w:val="single" w:sz="12"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POST-EFFECTIVE AMENDMENT TO FORM S-1</w:t>
        <w:br/>
        <w:t>REGISTRATION STATEMENT</w:t>
        <w:br/>
        <w:t>UNDER</w:t>
        <w:br/>
        <w:t>THE SECURITIES ACT OF 1933</w:t>
      </w:r>
    </w:p>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bdr w:val="single" w:sz="12" w:space="1" w:color="000000"/>
        </w:rPr>
      </w:pPr>
      <w:r>
        <w:rPr>
          <w:bdr w:val="single" w:sz="12"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4"/>
        </w:rPr>
        <w:t>RICHTECH ROBOTICS INC.</w:t>
        <w:br/>
      </w:r>
      <w:r>
        <w:rPr>
          <w:rFonts w:ascii="Times New Roman;Times;Serif" w:hAnsi="Times New Roman;Times;Serif"/>
          <w:b w:val="false"/>
          <w:i w:val="false"/>
          <w:caps w:val="false"/>
          <w:smallCaps w:val="false"/>
          <w:sz w:val="20"/>
        </w:rPr>
        <w:t>(Exact name of registrant as specified in its charter)</w:t>
      </w:r>
    </w:p>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bdr w:val="single" w:sz="12" w:space="1" w:color="000000"/>
        </w:rPr>
      </w:pPr>
      <w:r>
        <w:rPr>
          <w:bdr w:val="single" w:sz="12" w:space="1" w:color="000000"/>
        </w:rPr>
        <w:t> </w:t>
      </w:r>
    </w:p>
    <w:p>
      <w:pPr>
        <w:pStyle w:val="TextBody"/>
        <w:bidi w:val="0"/>
        <w:spacing w:before="0" w:after="0"/>
        <w:ind w:left="0" w:right="0" w:hanging="0"/>
        <w:jc w:val="center"/>
        <w:rPr>
          <w:caps w:val="false"/>
          <w:smallCaps w:val="false"/>
        </w:rPr>
      </w:pPr>
      <w:r>
        <w:rPr>
          <w:caps w:val="false"/>
          <w:smallCaps w:val="false"/>
        </w:rPr>
        <w:t> </w:t>
      </w:r>
    </w:p>
    <w:tbl>
      <w:tblPr>
        <w:tblW w:w="6885" w:type="dxa"/>
        <w:jc w:val="left"/>
        <w:tblInd w:w="0" w:type="dxa"/>
        <w:tblLayout w:type="fixed"/>
        <w:tblCellMar>
          <w:top w:w="0" w:type="dxa"/>
          <w:left w:w="0" w:type="dxa"/>
          <w:bottom w:w="28" w:type="dxa"/>
          <w:right w:w="0" w:type="dxa"/>
        </w:tblCellMar>
      </w:tblPr>
      <w:tblGrid>
        <w:gridCol w:w="2495"/>
        <w:gridCol w:w="60"/>
        <w:gridCol w:w="2375"/>
        <w:gridCol w:w="60"/>
        <w:gridCol w:w="1895"/>
      </w:tblGrid>
      <w:tr>
        <w:trPr/>
        <w:tc>
          <w:tcPr>
            <w:tcW w:w="2495" w:type="dxa"/>
            <w:tcBorders>
              <w:bottom w:val="single" w:sz="12" w:space="0" w:color="000000"/>
            </w:tcBorders>
            <w:vAlign w:val="center"/>
          </w:tcPr>
          <w:p>
            <w:pPr>
              <w:pStyle w:val="TableContents"/>
              <w:bidi w:val="0"/>
              <w:spacing w:before="0" w:after="283"/>
              <w:jc w:val="center"/>
              <w:rPr>
                <w:b/>
                <w:sz w:val="20"/>
              </w:rPr>
            </w:pPr>
            <w:r>
              <w:rPr>
                <w:b/>
                <w:sz w:val="20"/>
              </w:rPr>
              <w:t>Nevada</w:t>
            </w:r>
          </w:p>
        </w:tc>
        <w:tc>
          <w:tcPr>
            <w:tcW w:w="60" w:type="dxa"/>
            <w:tcBorders/>
            <w:tcMar>
              <w:bottom w:w="0" w:type="dxa"/>
            </w:tcMar>
            <w:vAlign w:val="center"/>
          </w:tcPr>
          <w:p>
            <w:pPr>
              <w:pStyle w:val="TableContents"/>
              <w:bidi w:val="0"/>
              <w:spacing w:before="0" w:after="283"/>
              <w:jc w:val="left"/>
              <w:rPr/>
            </w:pPr>
            <w:r>
              <w:rPr/>
              <w:t> </w:t>
            </w:r>
          </w:p>
        </w:tc>
        <w:tc>
          <w:tcPr>
            <w:tcW w:w="2375" w:type="dxa"/>
            <w:tcBorders>
              <w:bottom w:val="single" w:sz="12" w:space="0" w:color="000000"/>
            </w:tcBorders>
            <w:vAlign w:val="center"/>
          </w:tcPr>
          <w:p>
            <w:pPr>
              <w:pStyle w:val="TableContents"/>
              <w:bidi w:val="0"/>
              <w:spacing w:before="0" w:after="283"/>
              <w:jc w:val="center"/>
              <w:rPr>
                <w:b/>
                <w:sz w:val="20"/>
              </w:rPr>
            </w:pPr>
            <w:r>
              <w:rPr>
                <w:b/>
                <w:sz w:val="20"/>
              </w:rPr>
              <w:t>3569</w:t>
            </w:r>
          </w:p>
        </w:tc>
        <w:tc>
          <w:tcPr>
            <w:tcW w:w="60" w:type="dxa"/>
            <w:tcBorders/>
            <w:tcMar>
              <w:bottom w:w="0" w:type="dxa"/>
            </w:tcMar>
            <w:vAlign w:val="center"/>
          </w:tcPr>
          <w:p>
            <w:pPr>
              <w:pStyle w:val="TableContents"/>
              <w:bidi w:val="0"/>
              <w:spacing w:before="0" w:after="283"/>
              <w:jc w:val="left"/>
              <w:rPr/>
            </w:pPr>
            <w:r>
              <w:rPr/>
              <w:t> </w:t>
            </w:r>
          </w:p>
        </w:tc>
        <w:tc>
          <w:tcPr>
            <w:tcW w:w="1895" w:type="dxa"/>
            <w:tcBorders>
              <w:bottom w:val="single" w:sz="12" w:space="0" w:color="000000"/>
            </w:tcBorders>
            <w:vAlign w:val="center"/>
          </w:tcPr>
          <w:p>
            <w:pPr>
              <w:pStyle w:val="TableContents"/>
              <w:bidi w:val="0"/>
              <w:spacing w:before="0" w:after="283"/>
              <w:jc w:val="center"/>
              <w:rPr>
                <w:b/>
                <w:sz w:val="20"/>
              </w:rPr>
            </w:pPr>
            <w:r>
              <w:rPr>
                <w:b/>
                <w:sz w:val="20"/>
              </w:rPr>
              <w:t>88-2870106</w:t>
            </w:r>
          </w:p>
        </w:tc>
      </w:tr>
      <w:tr>
        <w:trPr/>
        <w:tc>
          <w:tcPr>
            <w:tcW w:w="2495" w:type="dxa"/>
            <w:tcBorders/>
            <w:tcMar>
              <w:bottom w:w="0" w:type="dxa"/>
            </w:tcMar>
            <w:vAlign w:val="center"/>
          </w:tcPr>
          <w:p>
            <w:pPr>
              <w:pStyle w:val="TableContents"/>
              <w:bidi w:val="0"/>
              <w:spacing w:before="0" w:after="283"/>
              <w:jc w:val="center"/>
              <w:rPr>
                <w:sz w:val="20"/>
              </w:rPr>
            </w:pPr>
            <w:r>
              <w:rPr>
                <w:sz w:val="20"/>
              </w:rPr>
              <w:t xml:space="preserve">(State or other jurisdiction of </w:t>
              <w:br/>
              <w:t>incorporation or organization)</w:t>
            </w:r>
          </w:p>
        </w:tc>
        <w:tc>
          <w:tcPr>
            <w:tcW w:w="60" w:type="dxa"/>
            <w:tcBorders/>
            <w:tcMar>
              <w:bottom w:w="0" w:type="dxa"/>
            </w:tcMar>
            <w:vAlign w:val="center"/>
          </w:tcPr>
          <w:p>
            <w:pPr>
              <w:pStyle w:val="TableContents"/>
              <w:bidi w:val="0"/>
              <w:spacing w:before="0" w:after="283"/>
              <w:jc w:val="left"/>
              <w:rPr/>
            </w:pPr>
            <w:r>
              <w:rPr/>
              <w:t> </w:t>
            </w:r>
          </w:p>
        </w:tc>
        <w:tc>
          <w:tcPr>
            <w:tcW w:w="2375" w:type="dxa"/>
            <w:tcBorders/>
            <w:tcMar>
              <w:bottom w:w="0" w:type="dxa"/>
            </w:tcMar>
            <w:vAlign w:val="center"/>
          </w:tcPr>
          <w:p>
            <w:pPr>
              <w:pStyle w:val="TableContents"/>
              <w:bidi w:val="0"/>
              <w:spacing w:before="0" w:after="283"/>
              <w:jc w:val="center"/>
              <w:rPr>
                <w:sz w:val="20"/>
              </w:rPr>
            </w:pPr>
            <w:r>
              <w:rPr>
                <w:sz w:val="20"/>
              </w:rPr>
              <w:t xml:space="preserve">(Primary Standard Industrial </w:t>
              <w:br/>
              <w:t>Classification Code Number)</w:t>
            </w:r>
          </w:p>
        </w:tc>
        <w:tc>
          <w:tcPr>
            <w:tcW w:w="60" w:type="dxa"/>
            <w:tcBorders/>
            <w:tcMar>
              <w:bottom w:w="0" w:type="dxa"/>
            </w:tcMar>
            <w:vAlign w:val="center"/>
          </w:tcPr>
          <w:p>
            <w:pPr>
              <w:pStyle w:val="TableContents"/>
              <w:bidi w:val="0"/>
              <w:spacing w:before="0" w:after="283"/>
              <w:jc w:val="left"/>
              <w:rPr/>
            </w:pPr>
            <w:r>
              <w:rPr/>
              <w:t> </w:t>
            </w:r>
          </w:p>
        </w:tc>
        <w:tc>
          <w:tcPr>
            <w:tcW w:w="1895" w:type="dxa"/>
            <w:tcBorders/>
            <w:tcMar>
              <w:bottom w:w="0" w:type="dxa"/>
            </w:tcMar>
            <w:vAlign w:val="center"/>
          </w:tcPr>
          <w:p>
            <w:pPr>
              <w:pStyle w:val="TableContents"/>
              <w:bidi w:val="0"/>
              <w:spacing w:before="0" w:after="283"/>
              <w:jc w:val="center"/>
              <w:rPr>
                <w:sz w:val="20"/>
              </w:rPr>
            </w:pPr>
            <w:r>
              <w:rPr>
                <w:sz w:val="20"/>
              </w:rPr>
              <w:t xml:space="preserve">(I.R.S. Employer </w:t>
              <w:br/>
              <w:t>Identification Number)</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2975 Lincoln Rd</w:t>
        <w:br/>
        <w:t>Las Vegas, NV 89115</w:t>
        <w:br/>
        <w:t>(866) 236-3835</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including zip code, and telephone number, including area code, of Registrant’s principal executive offices)</w:t>
      </w:r>
    </w:p>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bdr w:val="single" w:sz="12" w:space="1" w:color="000000"/>
        </w:rPr>
      </w:pPr>
      <w:r>
        <w:rPr>
          <w:bdr w:val="single" w:sz="12"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Zhenwu (Wayne) Huang</w:t>
        <w:br/>
        <w:t>C/O RICHTECH ROBOTICS INC.</w:t>
        <w:br/>
        <w:t>2975 Lincoln Rd,</w:t>
        <w:br/>
        <w:t>Las Vegas, NV 89115</w:t>
        <w:br/>
        <w:t>(866) 236-3835</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address, including zip code, and telephone number, including area code, of agent for service)</w:t>
      </w:r>
    </w:p>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bdr w:val="single" w:sz="12" w:space="1" w:color="000000"/>
        </w:rPr>
      </w:pPr>
      <w:r>
        <w:rPr>
          <w:bdr w:val="single" w:sz="12"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Copies to:</w:t>
      </w:r>
    </w:p>
    <w:tbl>
      <w:tblPr>
        <w:tblW w:w="2930" w:type="dxa"/>
        <w:jc w:val="left"/>
        <w:tblInd w:w="0" w:type="dxa"/>
        <w:tblLayout w:type="fixed"/>
        <w:tblCellMar>
          <w:top w:w="0" w:type="dxa"/>
          <w:left w:w="0" w:type="dxa"/>
          <w:bottom w:w="0" w:type="dxa"/>
          <w:right w:w="0" w:type="dxa"/>
        </w:tblCellMar>
      </w:tblPr>
      <w:tblGrid>
        <w:gridCol w:w="2930"/>
      </w:tblGrid>
      <w:tr>
        <w:trPr/>
        <w:tc>
          <w:tcPr>
            <w:tcW w:w="2930" w:type="dxa"/>
            <w:tcBorders/>
            <w:vAlign w:val="center"/>
          </w:tcPr>
          <w:p>
            <w:pPr>
              <w:pStyle w:val="TableContents"/>
              <w:bidi w:val="0"/>
              <w:spacing w:before="0" w:after="283"/>
              <w:jc w:val="center"/>
              <w:rPr>
                <w:b/>
                <w:sz w:val="20"/>
              </w:rPr>
            </w:pPr>
            <w:r>
              <w:rPr>
                <w:b/>
                <w:sz w:val="20"/>
              </w:rPr>
              <w:t xml:space="preserve">Richard I. Anslow, Esq. </w:t>
              <w:br/>
              <w:t xml:space="preserve">Lijia Sanchez, Esq. </w:t>
              <w:br/>
              <w:t xml:space="preserve">Ellenoff Grossman &amp; Schole LLP </w:t>
              <w:br/>
              <w:t xml:space="preserve">1345 Avenue of the Americas </w:t>
              <w:br/>
              <w:t xml:space="preserve">New York, NY 10105 </w:t>
              <w:br/>
              <w:t xml:space="preserve">Tel: (212) 370-1300 </w:t>
              <w:br/>
              <w:t>Fax: (212) 370-7889</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bdr w:val="single" w:sz="12" w:space="1" w:color="000000"/>
        </w:rPr>
      </w:pPr>
      <w:r>
        <w:rPr>
          <w:bdr w:val="single" w:sz="12"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48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Approximate date of commencement of proposed sale to the public: As soon as practicable after the effective date of this registration statement.</w:t>
      </w:r>
    </w:p>
    <w:p>
      <w:pPr>
        <w:pStyle w:val="TextBody"/>
        <w:bidi w:val="0"/>
        <w:spacing w:before="0" w:after="0"/>
        <w:ind w:left="0" w:right="0" w:firstLine="480"/>
        <w:jc w:val="both"/>
        <w:rPr>
          <w:caps w:val="false"/>
          <w:smallCaps w:val="false"/>
        </w:rPr>
      </w:pPr>
      <w:r>
        <w:rPr>
          <w:caps w:val="false"/>
          <w:smallCaps w:val="false"/>
        </w:rPr>
        <w:t> </w:t>
      </w:r>
    </w:p>
    <w:p>
      <w:pPr>
        <w:pStyle w:val="TextBody"/>
        <w:bidi w:val="0"/>
        <w:spacing w:before="0" w:after="0"/>
        <w:ind w:left="0" w:right="0" w:firstLine="4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any of the securities being registered on this Form are to be offered on a delayed or continuous basis pursuant to Rule 415 under the Securities Act of 1933 check the following box: ☒</w:t>
      </w:r>
    </w:p>
    <w:p>
      <w:pPr>
        <w:pStyle w:val="TextBody"/>
        <w:bidi w:val="0"/>
        <w:spacing w:before="0" w:after="0"/>
        <w:ind w:left="0" w:right="0" w:firstLine="480"/>
        <w:jc w:val="both"/>
        <w:rPr>
          <w:caps w:val="false"/>
          <w:smallCaps w:val="false"/>
        </w:rPr>
      </w:pPr>
      <w:r>
        <w:rPr>
          <w:caps w:val="false"/>
          <w:smallCaps w:val="false"/>
        </w:rPr>
        <w:t> </w:t>
      </w:r>
    </w:p>
    <w:p>
      <w:pPr>
        <w:pStyle w:val="TextBody"/>
        <w:bidi w:val="0"/>
        <w:spacing w:before="0" w:after="0"/>
        <w:ind w:left="0" w:right="0" w:firstLine="4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p>
    <w:p>
      <w:pPr>
        <w:pStyle w:val="TextBody"/>
        <w:bidi w:val="0"/>
        <w:spacing w:before="0" w:after="0"/>
        <w:ind w:left="0" w:right="0" w:firstLine="480"/>
        <w:jc w:val="both"/>
        <w:rPr>
          <w:caps w:val="false"/>
          <w:smallCaps w:val="false"/>
        </w:rPr>
      </w:pPr>
      <w:r>
        <w:rPr>
          <w:caps w:val="false"/>
          <w:smallCaps w:val="false"/>
        </w:rPr>
        <w:t> </w:t>
      </w:r>
    </w:p>
    <w:p>
      <w:pPr>
        <w:pStyle w:val="TextBody"/>
        <w:bidi w:val="0"/>
        <w:spacing w:before="0" w:after="0"/>
        <w:ind w:left="0" w:right="0" w:firstLine="4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this Form is a post-effective amendment filed pursuant to Rule 462(c) under the Securities Act, check the following box and list the Securities Act registration statement number of the earlier effective registration statement for the same offering. ☐</w:t>
      </w:r>
    </w:p>
    <w:p>
      <w:pPr>
        <w:pStyle w:val="TextBody"/>
        <w:bidi w:val="0"/>
        <w:spacing w:before="0" w:after="0"/>
        <w:ind w:left="0" w:right="0" w:firstLine="480"/>
        <w:jc w:val="both"/>
        <w:rPr>
          <w:caps w:val="false"/>
          <w:smallCaps w:val="false"/>
        </w:rPr>
      </w:pPr>
      <w:r>
        <w:rPr>
          <w:caps w:val="false"/>
          <w:smallCaps w:val="false"/>
        </w:rPr>
        <w:t> </w:t>
      </w:r>
    </w:p>
    <w:p>
      <w:pPr>
        <w:pStyle w:val="TextBody"/>
        <w:bidi w:val="0"/>
        <w:spacing w:before="0" w:after="0"/>
        <w:ind w:left="0" w:right="0" w:firstLine="4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this Form is a post-effective amendment filed pursuant to Rule 462(d) under the Securities Act, check the following box and list the Securities Act registration statement number of the earlier effective registration statement for the same offering. ☒</w:t>
      </w:r>
    </w:p>
    <w:p>
      <w:pPr>
        <w:pStyle w:val="TextBody"/>
        <w:bidi w:val="0"/>
        <w:spacing w:before="0" w:after="0"/>
        <w:ind w:left="0" w:right="0" w:firstLine="480"/>
        <w:jc w:val="both"/>
        <w:rPr>
          <w:caps w:val="false"/>
          <w:smallCaps w:val="false"/>
        </w:rPr>
      </w:pPr>
      <w:r>
        <w:rPr>
          <w:caps w:val="false"/>
          <w:smallCaps w:val="false"/>
        </w:rPr>
        <w:t> </w:t>
      </w:r>
    </w:p>
    <w:p>
      <w:pPr>
        <w:pStyle w:val="TextBody"/>
        <w:bidi w:val="0"/>
        <w:spacing w:before="0" w:after="0"/>
        <w:ind w:left="0" w:right="0" w:firstLine="4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pStyle w:val="TextBody"/>
        <w:bidi w:val="0"/>
        <w:spacing w:before="0" w:after="0"/>
        <w:ind w:left="0" w:right="0" w:firstLine="480"/>
        <w:jc w:val="both"/>
        <w:rPr>
          <w:caps w:val="false"/>
          <w:smallCaps w:val="false"/>
        </w:rPr>
      </w:pPr>
      <w:r>
        <w:rPr>
          <w:caps w:val="false"/>
          <w:smallCaps w:val="false"/>
        </w:rPr>
        <w:t> </w:t>
      </w:r>
    </w:p>
    <w:tbl>
      <w:tblPr>
        <w:tblW w:w="4715" w:type="dxa"/>
        <w:jc w:val="left"/>
        <w:tblInd w:w="0" w:type="dxa"/>
        <w:tblLayout w:type="fixed"/>
        <w:tblCellMar>
          <w:top w:w="0" w:type="dxa"/>
          <w:left w:w="0" w:type="dxa"/>
          <w:bottom w:w="0" w:type="dxa"/>
          <w:right w:w="0" w:type="dxa"/>
        </w:tblCellMar>
      </w:tblPr>
      <w:tblGrid>
        <w:gridCol w:w="1835"/>
        <w:gridCol w:w="60"/>
        <w:gridCol w:w="230"/>
        <w:gridCol w:w="60"/>
        <w:gridCol w:w="2225"/>
        <w:gridCol w:w="60"/>
        <w:gridCol w:w="245"/>
      </w:tblGrid>
      <w:tr>
        <w:trPr/>
        <w:tc>
          <w:tcPr>
            <w:tcW w:w="1835" w:type="dxa"/>
            <w:tcBorders/>
            <w:vAlign w:val="center"/>
          </w:tcPr>
          <w:p>
            <w:pPr>
              <w:pStyle w:val="TableContents"/>
              <w:bidi w:val="0"/>
              <w:spacing w:before="0" w:after="283"/>
              <w:jc w:val="left"/>
              <w:rPr>
                <w:sz w:val="20"/>
              </w:rPr>
            </w:pPr>
            <w:r>
              <w:rPr>
                <w:sz w:val="20"/>
              </w:rPr>
              <w:t>Large accelerated filer</w:t>
            </w:r>
          </w:p>
        </w:tc>
        <w:tc>
          <w:tcPr>
            <w:tcW w:w="6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2225" w:type="dxa"/>
            <w:tcBorders/>
            <w:vAlign w:val="center"/>
          </w:tcPr>
          <w:p>
            <w:pPr>
              <w:pStyle w:val="TableContents"/>
              <w:bidi w:val="0"/>
              <w:spacing w:before="0" w:after="283"/>
              <w:jc w:val="left"/>
              <w:rPr>
                <w:sz w:val="20"/>
              </w:rPr>
            </w:pPr>
            <w:r>
              <w:rPr>
                <w:sz w:val="20"/>
              </w:rPr>
              <w:t>Accelerated filer</w:t>
            </w:r>
          </w:p>
        </w:tc>
        <w:tc>
          <w:tcPr>
            <w:tcW w:w="6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pPr>
            <w:r>
              <w:rPr/>
              <w:t>☐</w:t>
            </w:r>
          </w:p>
        </w:tc>
      </w:tr>
      <w:tr>
        <w:trPr/>
        <w:tc>
          <w:tcPr>
            <w:tcW w:w="1835" w:type="dxa"/>
            <w:tcBorders/>
            <w:vAlign w:val="center"/>
          </w:tcPr>
          <w:p>
            <w:pPr>
              <w:pStyle w:val="TableContents"/>
              <w:bidi w:val="0"/>
              <w:spacing w:before="0" w:after="283"/>
              <w:jc w:val="left"/>
              <w:rPr>
                <w:sz w:val="20"/>
              </w:rPr>
            </w:pPr>
            <w:r>
              <w:rPr>
                <w:sz w:val="20"/>
              </w:rPr>
              <w:t>Non-accelerated filer</w:t>
            </w:r>
          </w:p>
        </w:tc>
        <w:tc>
          <w:tcPr>
            <w:tcW w:w="6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2225" w:type="dxa"/>
            <w:tcBorders/>
            <w:vAlign w:val="center"/>
          </w:tcPr>
          <w:p>
            <w:pPr>
              <w:pStyle w:val="TableContents"/>
              <w:bidi w:val="0"/>
              <w:spacing w:before="0" w:after="283"/>
              <w:jc w:val="left"/>
              <w:rPr>
                <w:sz w:val="20"/>
              </w:rPr>
            </w:pPr>
            <w:r>
              <w:rPr>
                <w:sz w:val="20"/>
              </w:rPr>
              <w:t>Smaller reporting company</w:t>
            </w:r>
          </w:p>
        </w:tc>
        <w:tc>
          <w:tcPr>
            <w:tcW w:w="6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pPr>
            <w:r>
              <w:rPr/>
              <w:t>☒</w:t>
            </w:r>
          </w:p>
        </w:tc>
      </w:tr>
      <w:tr>
        <w:trPr/>
        <w:tc>
          <w:tcPr>
            <w:tcW w:w="183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25" w:type="dxa"/>
            <w:tcBorders/>
            <w:vAlign w:val="center"/>
          </w:tcPr>
          <w:p>
            <w:pPr>
              <w:pStyle w:val="TableContents"/>
              <w:bidi w:val="0"/>
              <w:spacing w:before="0" w:after="283"/>
              <w:jc w:val="left"/>
              <w:rPr>
                <w:sz w:val="20"/>
              </w:rPr>
            </w:pPr>
            <w:r>
              <w:rPr>
                <w:sz w:val="20"/>
              </w:rPr>
              <w:t>Emerging growth company</w:t>
            </w:r>
          </w:p>
        </w:tc>
        <w:tc>
          <w:tcPr>
            <w:tcW w:w="6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pPr>
            <w:r>
              <w:rPr/>
              <w:t>☒</w:t>
            </w:r>
          </w:p>
        </w:tc>
      </w:tr>
    </w:tbl>
    <w:p>
      <w:pPr>
        <w:pStyle w:val="TextBody"/>
        <w:bidi w:val="0"/>
        <w:spacing w:before="0" w:after="0"/>
        <w:ind w:left="0" w:right="0" w:firstLine="480"/>
        <w:jc w:val="both"/>
        <w:rPr>
          <w:caps w:val="false"/>
          <w:smallCaps w:val="false"/>
        </w:rPr>
      </w:pPr>
      <w:r>
        <w:rPr>
          <w:caps w:val="false"/>
          <w:smallCaps w:val="false"/>
        </w:rPr>
        <w:t> </w:t>
      </w:r>
    </w:p>
    <w:p>
      <w:pPr>
        <w:pStyle w:val="TextBody"/>
        <w:bidi w:val="0"/>
        <w:spacing w:before="0" w:after="0"/>
        <w:ind w:left="0" w:right="0" w:firstLine="4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7(a)(2)(B) of the Securities Act. ☐</w:t>
      </w:r>
    </w:p>
    <w:p>
      <w:pPr>
        <w:pStyle w:val="TextBody"/>
        <w:bidi w:val="0"/>
        <w:spacing w:before="0" w:after="0"/>
        <w:ind w:left="0" w:right="0" w:firstLine="480"/>
        <w:jc w:val="both"/>
        <w:rPr>
          <w:caps w:val="false"/>
          <w:smallCaps w:val="false"/>
        </w:rPr>
      </w:pPr>
      <w:r>
        <w:rPr>
          <w:caps w:val="false"/>
          <w:smallCaps w:val="false"/>
        </w:rPr>
        <w:t> </w:t>
      </w:r>
    </w:p>
    <w:p>
      <w:pPr>
        <w:pStyle w:val="TextBody"/>
        <w:bidi w:val="0"/>
        <w:spacing w:before="0" w:after="0"/>
        <w:ind w:left="0" w:right="0" w:firstLine="48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or until the registration statement shall become effective on such date as the Commission, acting pursuant to Section 8(a), may determine.</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EXPLANATORY NOTE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Post Effective Amendment to the Registration Statement on Form S-1 of Richtech Robotics Inc. (the “Company”) (File No. 333-293535) is being filed as an exhibit-only filing solely to file the consent of Bush &amp; Associates CPA LLC (Exhibit 23.1). Accordingly, this Amendment consists only of the facing page, this explanatory note, the signature pages to the Registration Statement, and the referenced exhibit. The prospectus and the balance of Part II of the Registration Statement are unchanged hereby and have been omitted.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40"/>
        <w:gridCol w:w="60"/>
        <w:gridCol w:w="9105"/>
      </w:tblGrid>
      <w:tr>
        <w:trPr/>
        <w:tc>
          <w:tcPr>
            <w:tcW w:w="10205" w:type="dxa"/>
            <w:gridSpan w:val="3"/>
            <w:tcBorders/>
            <w:vAlign w:val="center"/>
          </w:tcPr>
          <w:p>
            <w:pPr>
              <w:pStyle w:val="TableContents"/>
              <w:bidi w:val="0"/>
              <w:spacing w:before="0" w:after="283"/>
              <w:jc w:val="center"/>
              <w:rPr>
                <w:b/>
                <w:sz w:val="20"/>
                <w:u w:val="single"/>
              </w:rPr>
            </w:pPr>
            <w:r>
              <w:rPr>
                <w:b/>
                <w:sz w:val="20"/>
                <w:u w:val="single"/>
              </w:rPr>
              <w:t>Index of Exhibits</w:t>
            </w:r>
          </w:p>
        </w:tc>
      </w:tr>
      <w:tr>
        <w:trPr/>
        <w:tc>
          <w:tcPr>
            <w:tcW w:w="10205" w:type="dxa"/>
            <w:gridSpan w:val="3"/>
            <w:tcBorders/>
            <w:vAlign w:val="center"/>
          </w:tcPr>
          <w:p>
            <w:pPr>
              <w:pStyle w:val="TableContents"/>
              <w:bidi w:val="0"/>
              <w:spacing w:before="0" w:after="283"/>
              <w:jc w:val="center"/>
              <w:rPr/>
            </w:pPr>
            <w:r>
              <w:rPr/>
              <w:t> </w:t>
            </w:r>
          </w:p>
        </w:tc>
      </w:tr>
      <w:tr>
        <w:trPr/>
        <w:tc>
          <w:tcPr>
            <w:tcW w:w="1040" w:type="dxa"/>
            <w:tcBorders>
              <w:bottom w:val="single" w:sz="12" w:space="0" w:color="000000"/>
            </w:tcBorders>
            <w:tcMar>
              <w:bottom w:w="28" w:type="dxa"/>
            </w:tcMar>
            <w:vAlign w:val="center"/>
          </w:tcPr>
          <w:p>
            <w:pPr>
              <w:pStyle w:val="TableContents"/>
              <w:bidi w:val="0"/>
              <w:spacing w:before="0" w:after="283"/>
              <w:jc w:val="left"/>
              <w:rPr>
                <w:sz w:val="20"/>
              </w:rPr>
            </w:pPr>
            <w:r>
              <w:rPr>
                <w:b/>
                <w:sz w:val="20"/>
              </w:rPr>
              <w:t>Exhibit No.</w:t>
            </w:r>
            <w:r>
              <w:rPr>
                <w:sz w:val="20"/>
              </w:rPr>
              <w:t> </w:t>
            </w:r>
          </w:p>
        </w:tc>
        <w:tc>
          <w:tcPr>
            <w:tcW w:w="60" w:type="dxa"/>
            <w:tcBorders/>
            <w:vAlign w:val="center"/>
          </w:tcPr>
          <w:p>
            <w:pPr>
              <w:pStyle w:val="TableContents"/>
              <w:bidi w:val="0"/>
              <w:spacing w:before="0" w:after="283"/>
              <w:jc w:val="left"/>
              <w:rPr/>
            </w:pPr>
            <w:r>
              <w:rPr/>
              <w:t> </w:t>
            </w:r>
          </w:p>
        </w:tc>
        <w:tc>
          <w:tcPr>
            <w:tcW w:w="9105" w:type="dxa"/>
            <w:tcBorders>
              <w:bottom w:val="single" w:sz="12" w:space="0" w:color="000000"/>
            </w:tcBorders>
            <w:tcMar>
              <w:bottom w:w="28" w:type="dxa"/>
            </w:tcMar>
            <w:vAlign w:val="center"/>
          </w:tcPr>
          <w:p>
            <w:pPr>
              <w:pStyle w:val="TableContents"/>
              <w:bidi w:val="0"/>
              <w:spacing w:before="0" w:after="283"/>
              <w:jc w:val="left"/>
              <w:rPr>
                <w:sz w:val="20"/>
              </w:rPr>
            </w:pPr>
            <w:r>
              <w:rPr>
                <w:b/>
                <w:sz w:val="20"/>
              </w:rPr>
              <w:t>Description</w:t>
            </w:r>
            <w:r>
              <w:rPr>
                <w:sz w:val="20"/>
              </w:rPr>
              <w:t> </w:t>
            </w:r>
          </w:p>
        </w:tc>
      </w:tr>
      <w:tr>
        <w:trPr/>
        <w:tc>
          <w:tcPr>
            <w:tcW w:w="1040" w:type="dxa"/>
            <w:tcBorders/>
            <w:shd w:fill="CCEEFF" w:val="clear"/>
            <w:vAlign w:val="center"/>
          </w:tcPr>
          <w:p>
            <w:pPr>
              <w:pStyle w:val="TableContents"/>
              <w:bidi w:val="0"/>
              <w:spacing w:before="0" w:after="283"/>
              <w:jc w:val="left"/>
              <w:rPr>
                <w:sz w:val="20"/>
              </w:rPr>
            </w:pPr>
            <w:r>
              <w:rPr>
                <w:sz w:val="20"/>
              </w:rPr>
              <w:t>3.1</w:t>
            </w:r>
          </w:p>
        </w:tc>
        <w:tc>
          <w:tcPr>
            <w:tcW w:w="60" w:type="dxa"/>
            <w:tcBorders/>
            <w:shd w:fill="CCEEFF" w:val="clear"/>
            <w:vAlign w:val="center"/>
          </w:tcPr>
          <w:p>
            <w:pPr>
              <w:pStyle w:val="TableContents"/>
              <w:bidi w:val="0"/>
              <w:spacing w:before="0" w:after="283"/>
              <w:jc w:val="left"/>
              <w:rPr/>
            </w:pPr>
            <w:r>
              <w:rPr/>
              <w:t> </w:t>
            </w:r>
          </w:p>
        </w:tc>
        <w:tc>
          <w:tcPr>
            <w:tcW w:w="9105" w:type="dxa"/>
            <w:tcBorders/>
            <w:shd w:fill="CCEEFF" w:val="clear"/>
            <w:vAlign w:val="center"/>
          </w:tcPr>
          <w:p>
            <w:pPr>
              <w:pStyle w:val="TableContents"/>
              <w:bidi w:val="0"/>
              <w:spacing w:before="0" w:after="283"/>
              <w:jc w:val="both"/>
              <w:rPr/>
            </w:pPr>
            <w:hyperlink r:id="rId2">
              <w:r>
                <w:rPr>
                  <w:rStyle w:val="InternetLink"/>
                  <w:sz w:val="20"/>
                </w:rPr>
                <w:t>Second Amended and Restated Articles of Incorporation (Incorporated by reference to Exhibit 3.1 in the Company’s Current Report on Form 8-K, filed with the SEC on November 22, 2023).</w:t>
              </w:r>
            </w:hyperlink>
          </w:p>
        </w:tc>
      </w:tr>
      <w:tr>
        <w:trPr/>
        <w:tc>
          <w:tcPr>
            <w:tcW w:w="1040" w:type="dxa"/>
            <w:tcBorders/>
            <w:shd w:fill="FFFFFF" w:val="clear"/>
            <w:vAlign w:val="center"/>
          </w:tcPr>
          <w:p>
            <w:pPr>
              <w:pStyle w:val="TableContents"/>
              <w:bidi w:val="0"/>
              <w:spacing w:before="0" w:after="283"/>
              <w:jc w:val="left"/>
              <w:rPr>
                <w:sz w:val="20"/>
              </w:rPr>
            </w:pPr>
            <w:r>
              <w:rPr>
                <w:sz w:val="20"/>
              </w:rPr>
              <w:t>3.2</w:t>
            </w:r>
          </w:p>
        </w:tc>
        <w:tc>
          <w:tcPr>
            <w:tcW w:w="60" w:type="dxa"/>
            <w:tcBorders/>
            <w:shd w:fill="FFFFFF" w:val="clear"/>
            <w:vAlign w:val="center"/>
          </w:tcPr>
          <w:p>
            <w:pPr>
              <w:pStyle w:val="TableContents"/>
              <w:bidi w:val="0"/>
              <w:spacing w:before="0" w:after="283"/>
              <w:jc w:val="left"/>
              <w:rPr/>
            </w:pPr>
            <w:r>
              <w:rPr/>
              <w:t> </w:t>
            </w:r>
          </w:p>
        </w:tc>
        <w:tc>
          <w:tcPr>
            <w:tcW w:w="9105" w:type="dxa"/>
            <w:tcBorders/>
            <w:shd w:fill="FFFFFF" w:val="clear"/>
            <w:vAlign w:val="center"/>
          </w:tcPr>
          <w:p>
            <w:pPr>
              <w:pStyle w:val="TableContents"/>
              <w:bidi w:val="0"/>
              <w:spacing w:before="0" w:after="283"/>
              <w:jc w:val="both"/>
              <w:rPr/>
            </w:pPr>
            <w:hyperlink r:id="rId3">
              <w:r>
                <w:rPr>
                  <w:rStyle w:val="InternetLink"/>
                  <w:sz w:val="20"/>
                </w:rPr>
                <w:t>Articles of Amendment to Articles of Incorporation of Richtech Robotics Inc. (Incorporated herein by reference to Exhibit 3.1 of the Company’s Current Report on Form 8-K, filed with the Commission on November 17, 2025).</w:t>
              </w:r>
            </w:hyperlink>
          </w:p>
        </w:tc>
      </w:tr>
      <w:tr>
        <w:trPr/>
        <w:tc>
          <w:tcPr>
            <w:tcW w:w="1040" w:type="dxa"/>
            <w:tcBorders/>
            <w:shd w:fill="CCEEFF" w:val="clear"/>
            <w:vAlign w:val="center"/>
          </w:tcPr>
          <w:p>
            <w:pPr>
              <w:pStyle w:val="TableContents"/>
              <w:bidi w:val="0"/>
              <w:spacing w:before="0" w:after="283"/>
              <w:jc w:val="left"/>
              <w:rPr>
                <w:sz w:val="20"/>
              </w:rPr>
            </w:pPr>
            <w:r>
              <w:rPr>
                <w:sz w:val="20"/>
              </w:rPr>
              <w:t>3.3</w:t>
            </w:r>
          </w:p>
        </w:tc>
        <w:tc>
          <w:tcPr>
            <w:tcW w:w="60" w:type="dxa"/>
            <w:tcBorders/>
            <w:shd w:fill="CCEEFF" w:val="clear"/>
            <w:vAlign w:val="center"/>
          </w:tcPr>
          <w:p>
            <w:pPr>
              <w:pStyle w:val="TableContents"/>
              <w:bidi w:val="0"/>
              <w:spacing w:before="0" w:after="283"/>
              <w:jc w:val="left"/>
              <w:rPr/>
            </w:pPr>
            <w:r>
              <w:rPr/>
              <w:t> </w:t>
            </w:r>
          </w:p>
        </w:tc>
        <w:tc>
          <w:tcPr>
            <w:tcW w:w="9105" w:type="dxa"/>
            <w:tcBorders/>
            <w:shd w:fill="CCEEFF" w:val="clear"/>
            <w:vAlign w:val="center"/>
          </w:tcPr>
          <w:p>
            <w:pPr>
              <w:pStyle w:val="TableContents"/>
              <w:bidi w:val="0"/>
              <w:spacing w:before="0" w:after="283"/>
              <w:jc w:val="both"/>
              <w:rPr/>
            </w:pPr>
            <w:hyperlink r:id="rId4">
              <w:r>
                <w:rPr>
                  <w:rStyle w:val="InternetLink"/>
                  <w:sz w:val="20"/>
                </w:rPr>
                <w:t>Second Amended and Restated Bylaws (Incorporated by reference to Exhibit 3.3 in the Company’s Annual Report on Form 10-K for the year ended September 30, 2023, filed with the SEC on January 11, 2024).</w:t>
              </w:r>
            </w:hyperlink>
          </w:p>
        </w:tc>
      </w:tr>
      <w:tr>
        <w:trPr/>
        <w:tc>
          <w:tcPr>
            <w:tcW w:w="1040" w:type="dxa"/>
            <w:tcBorders/>
            <w:shd w:fill="FFFFFF" w:val="clear"/>
            <w:vAlign w:val="center"/>
          </w:tcPr>
          <w:p>
            <w:pPr>
              <w:pStyle w:val="TableContents"/>
              <w:bidi w:val="0"/>
              <w:spacing w:before="0" w:after="283"/>
              <w:jc w:val="left"/>
              <w:rPr>
                <w:sz w:val="20"/>
              </w:rPr>
            </w:pPr>
            <w:r>
              <w:rPr>
                <w:sz w:val="20"/>
              </w:rPr>
              <w:t>4.1</w:t>
            </w:r>
          </w:p>
        </w:tc>
        <w:tc>
          <w:tcPr>
            <w:tcW w:w="60" w:type="dxa"/>
            <w:tcBorders/>
            <w:shd w:fill="FFFFFF" w:val="clear"/>
            <w:vAlign w:val="center"/>
          </w:tcPr>
          <w:p>
            <w:pPr>
              <w:pStyle w:val="TableContents"/>
              <w:bidi w:val="0"/>
              <w:spacing w:before="0" w:after="283"/>
              <w:jc w:val="left"/>
              <w:rPr/>
            </w:pPr>
            <w:r>
              <w:rPr/>
              <w:t> </w:t>
            </w:r>
          </w:p>
        </w:tc>
        <w:tc>
          <w:tcPr>
            <w:tcW w:w="9105" w:type="dxa"/>
            <w:tcBorders/>
            <w:shd w:fill="FFFFFF" w:val="clear"/>
            <w:vAlign w:val="center"/>
          </w:tcPr>
          <w:p>
            <w:pPr>
              <w:pStyle w:val="TableContents"/>
              <w:bidi w:val="0"/>
              <w:spacing w:before="0" w:after="283"/>
              <w:jc w:val="both"/>
              <w:rPr/>
            </w:pPr>
            <w:hyperlink r:id="rId5">
              <w:r>
                <w:rPr>
                  <w:rStyle w:val="InternetLink"/>
                  <w:sz w:val="20"/>
                </w:rPr>
                <w:t>Specimen Class B Common Stock Certificate (Incorporated by reference to Exhibit 4.1 in the Company’s Registration Statement on Form S-1/A (File No. 333-273628), filed with the SEC on November 1, 2023).</w:t>
              </w:r>
            </w:hyperlink>
          </w:p>
        </w:tc>
      </w:tr>
      <w:tr>
        <w:trPr/>
        <w:tc>
          <w:tcPr>
            <w:tcW w:w="1040" w:type="dxa"/>
            <w:tcBorders/>
            <w:shd w:fill="CCEEFF" w:val="clear"/>
            <w:vAlign w:val="center"/>
          </w:tcPr>
          <w:p>
            <w:pPr>
              <w:pStyle w:val="TableContents"/>
              <w:bidi w:val="0"/>
              <w:spacing w:before="0" w:after="283"/>
              <w:jc w:val="left"/>
              <w:rPr>
                <w:sz w:val="20"/>
              </w:rPr>
            </w:pPr>
            <w:r>
              <w:rPr>
                <w:sz w:val="20"/>
              </w:rPr>
              <w:t>4.2</w:t>
            </w:r>
          </w:p>
        </w:tc>
        <w:tc>
          <w:tcPr>
            <w:tcW w:w="60" w:type="dxa"/>
            <w:tcBorders/>
            <w:shd w:fill="CCEEFF" w:val="clear"/>
            <w:vAlign w:val="center"/>
          </w:tcPr>
          <w:p>
            <w:pPr>
              <w:pStyle w:val="TableContents"/>
              <w:bidi w:val="0"/>
              <w:spacing w:before="0" w:after="283"/>
              <w:jc w:val="left"/>
              <w:rPr/>
            </w:pPr>
            <w:r>
              <w:rPr/>
              <w:t> </w:t>
            </w:r>
          </w:p>
        </w:tc>
        <w:tc>
          <w:tcPr>
            <w:tcW w:w="9105" w:type="dxa"/>
            <w:tcBorders/>
            <w:shd w:fill="CCEEFF" w:val="clear"/>
            <w:vAlign w:val="center"/>
          </w:tcPr>
          <w:p>
            <w:pPr>
              <w:pStyle w:val="TableContents"/>
              <w:bidi w:val="0"/>
              <w:spacing w:before="0" w:after="283"/>
              <w:jc w:val="both"/>
              <w:rPr/>
            </w:pPr>
            <w:hyperlink r:id="rId6">
              <w:r>
                <w:rPr>
                  <w:rStyle w:val="InternetLink"/>
                  <w:sz w:val="20"/>
                </w:rPr>
                <w:t>Form of Underwriter Warrant (Incorporated by reference to Exhibit 4.1 in the Company’s Current Report on Form 8-K, filed with the SEC on November 22, 2023).</w:t>
              </w:r>
            </w:hyperlink>
          </w:p>
        </w:tc>
      </w:tr>
      <w:tr>
        <w:trPr/>
        <w:tc>
          <w:tcPr>
            <w:tcW w:w="1040" w:type="dxa"/>
            <w:tcBorders/>
            <w:shd w:fill="FFFFFF" w:val="clear"/>
            <w:vAlign w:val="center"/>
          </w:tcPr>
          <w:p>
            <w:pPr>
              <w:pStyle w:val="TableContents"/>
              <w:bidi w:val="0"/>
              <w:spacing w:before="0" w:after="283"/>
              <w:jc w:val="left"/>
              <w:rPr>
                <w:sz w:val="20"/>
              </w:rPr>
            </w:pPr>
            <w:r>
              <w:rPr>
                <w:sz w:val="20"/>
              </w:rPr>
              <w:t>4.3</w:t>
            </w:r>
          </w:p>
        </w:tc>
        <w:tc>
          <w:tcPr>
            <w:tcW w:w="60" w:type="dxa"/>
            <w:tcBorders/>
            <w:shd w:fill="FFFFFF" w:val="clear"/>
            <w:vAlign w:val="center"/>
          </w:tcPr>
          <w:p>
            <w:pPr>
              <w:pStyle w:val="TableContents"/>
              <w:bidi w:val="0"/>
              <w:spacing w:before="0" w:after="283"/>
              <w:jc w:val="left"/>
              <w:rPr/>
            </w:pPr>
            <w:r>
              <w:rPr/>
              <w:t> </w:t>
            </w:r>
          </w:p>
        </w:tc>
        <w:tc>
          <w:tcPr>
            <w:tcW w:w="9105" w:type="dxa"/>
            <w:tcBorders/>
            <w:shd w:fill="FFFFFF" w:val="clear"/>
            <w:vAlign w:val="center"/>
          </w:tcPr>
          <w:p>
            <w:pPr>
              <w:pStyle w:val="TableContents"/>
              <w:bidi w:val="0"/>
              <w:spacing w:before="0" w:after="283"/>
              <w:jc w:val="both"/>
              <w:rPr/>
            </w:pPr>
            <w:hyperlink r:id="rId7">
              <w:r>
                <w:rPr>
                  <w:rStyle w:val="InternetLink"/>
                  <w:sz w:val="20"/>
                </w:rPr>
                <w:t>Form of Pre-Funded Warrant (Incorporated by reference to Exhibit 4.1 in the Company’s Current Report on Form 8-K, filed with the SEC on September 5, 2024).</w:t>
              </w:r>
            </w:hyperlink>
          </w:p>
        </w:tc>
      </w:tr>
      <w:tr>
        <w:trPr/>
        <w:tc>
          <w:tcPr>
            <w:tcW w:w="1040" w:type="dxa"/>
            <w:tcBorders/>
            <w:shd w:fill="CCEEFF" w:val="clear"/>
            <w:vAlign w:val="center"/>
          </w:tcPr>
          <w:p>
            <w:pPr>
              <w:pStyle w:val="TableContents"/>
              <w:bidi w:val="0"/>
              <w:spacing w:before="0" w:after="283"/>
              <w:jc w:val="left"/>
              <w:rPr>
                <w:sz w:val="20"/>
              </w:rPr>
            </w:pPr>
            <w:r>
              <w:rPr>
                <w:sz w:val="20"/>
              </w:rPr>
              <w:t>4.4</w:t>
            </w:r>
          </w:p>
        </w:tc>
        <w:tc>
          <w:tcPr>
            <w:tcW w:w="60" w:type="dxa"/>
            <w:tcBorders/>
            <w:shd w:fill="CCEEFF" w:val="clear"/>
            <w:vAlign w:val="center"/>
          </w:tcPr>
          <w:p>
            <w:pPr>
              <w:pStyle w:val="TableContents"/>
              <w:bidi w:val="0"/>
              <w:spacing w:before="0" w:after="283"/>
              <w:jc w:val="left"/>
              <w:rPr/>
            </w:pPr>
            <w:r>
              <w:rPr/>
              <w:t> </w:t>
            </w:r>
          </w:p>
        </w:tc>
        <w:tc>
          <w:tcPr>
            <w:tcW w:w="9105" w:type="dxa"/>
            <w:tcBorders/>
            <w:shd w:fill="CCEEFF" w:val="clear"/>
            <w:vAlign w:val="center"/>
          </w:tcPr>
          <w:p>
            <w:pPr>
              <w:pStyle w:val="TableContents"/>
              <w:bidi w:val="0"/>
              <w:spacing w:before="0" w:after="283"/>
              <w:jc w:val="both"/>
              <w:rPr/>
            </w:pPr>
            <w:hyperlink r:id="rId8">
              <w:r>
                <w:rPr>
                  <w:rStyle w:val="InternetLink"/>
                  <w:sz w:val="20"/>
                </w:rPr>
                <w:t>Form of Common Warrant (Incorporated by reference to Exhibit 4.2 in the Company’s Current Report on Form 8-K, filed with the SEC on September 5, 2024).</w:t>
              </w:r>
            </w:hyperlink>
          </w:p>
        </w:tc>
      </w:tr>
      <w:tr>
        <w:trPr/>
        <w:tc>
          <w:tcPr>
            <w:tcW w:w="1040" w:type="dxa"/>
            <w:tcBorders/>
            <w:shd w:fill="FFFFFF" w:val="clear"/>
            <w:vAlign w:val="center"/>
          </w:tcPr>
          <w:p>
            <w:pPr>
              <w:pStyle w:val="TableContents"/>
              <w:bidi w:val="0"/>
              <w:spacing w:before="0" w:after="283"/>
              <w:jc w:val="left"/>
              <w:rPr>
                <w:sz w:val="20"/>
              </w:rPr>
            </w:pPr>
            <w:r>
              <w:rPr>
                <w:sz w:val="20"/>
              </w:rPr>
              <w:t>4.5</w:t>
            </w:r>
          </w:p>
        </w:tc>
        <w:tc>
          <w:tcPr>
            <w:tcW w:w="60" w:type="dxa"/>
            <w:tcBorders/>
            <w:shd w:fill="FFFFFF" w:val="clear"/>
            <w:vAlign w:val="center"/>
          </w:tcPr>
          <w:p>
            <w:pPr>
              <w:pStyle w:val="TableContents"/>
              <w:bidi w:val="0"/>
              <w:spacing w:before="0" w:after="283"/>
              <w:jc w:val="left"/>
              <w:rPr/>
            </w:pPr>
            <w:r>
              <w:rPr/>
              <w:t> </w:t>
            </w:r>
          </w:p>
        </w:tc>
        <w:tc>
          <w:tcPr>
            <w:tcW w:w="9105" w:type="dxa"/>
            <w:tcBorders/>
            <w:shd w:fill="FFFFFF" w:val="clear"/>
            <w:vAlign w:val="center"/>
          </w:tcPr>
          <w:p>
            <w:pPr>
              <w:pStyle w:val="TableContents"/>
              <w:bidi w:val="0"/>
              <w:spacing w:before="0" w:after="283"/>
              <w:jc w:val="both"/>
              <w:rPr/>
            </w:pPr>
            <w:hyperlink r:id="rId9">
              <w:r>
                <w:rPr>
                  <w:rStyle w:val="InternetLink"/>
                  <w:sz w:val="20"/>
                </w:rPr>
                <w:t>Form of Placement Agent Warrant (Incorporated by reference to Exhibit 4.3 in the Company’s Current Report on Form 8-K, filed with the SEC on September 5, 2024).</w:t>
              </w:r>
            </w:hyperlink>
          </w:p>
        </w:tc>
      </w:tr>
      <w:tr>
        <w:trPr/>
        <w:tc>
          <w:tcPr>
            <w:tcW w:w="1040" w:type="dxa"/>
            <w:tcBorders/>
            <w:shd w:fill="CCEEFF" w:val="clear"/>
            <w:vAlign w:val="center"/>
          </w:tcPr>
          <w:p>
            <w:pPr>
              <w:pStyle w:val="TableContents"/>
              <w:bidi w:val="0"/>
              <w:spacing w:before="0" w:after="283"/>
              <w:jc w:val="left"/>
              <w:rPr>
                <w:sz w:val="20"/>
              </w:rPr>
            </w:pPr>
            <w:r>
              <w:rPr>
                <w:sz w:val="20"/>
              </w:rPr>
              <w:t>4.6</w:t>
            </w:r>
          </w:p>
        </w:tc>
        <w:tc>
          <w:tcPr>
            <w:tcW w:w="60" w:type="dxa"/>
            <w:tcBorders/>
            <w:shd w:fill="CCEEFF" w:val="clear"/>
            <w:vAlign w:val="center"/>
          </w:tcPr>
          <w:p>
            <w:pPr>
              <w:pStyle w:val="TableContents"/>
              <w:bidi w:val="0"/>
              <w:spacing w:before="0" w:after="283"/>
              <w:jc w:val="left"/>
              <w:rPr/>
            </w:pPr>
            <w:r>
              <w:rPr/>
              <w:t> </w:t>
            </w:r>
          </w:p>
        </w:tc>
        <w:tc>
          <w:tcPr>
            <w:tcW w:w="9105" w:type="dxa"/>
            <w:tcBorders/>
            <w:shd w:fill="CCEEFF" w:val="clear"/>
            <w:vAlign w:val="center"/>
          </w:tcPr>
          <w:p>
            <w:pPr>
              <w:pStyle w:val="TableContents"/>
              <w:bidi w:val="0"/>
              <w:spacing w:before="0" w:after="283"/>
              <w:jc w:val="both"/>
              <w:rPr/>
            </w:pPr>
            <w:hyperlink r:id="rId10">
              <w:r>
                <w:rPr>
                  <w:rStyle w:val="InternetLink"/>
                  <w:sz w:val="20"/>
                </w:rPr>
                <w:t>Form of Inducement Warrant (Incorporated by reference to Exhibit 4.1 in the Company’s Current Report on Form 8-K, filed with the SEC on February 11, 2025).</w:t>
              </w:r>
            </w:hyperlink>
          </w:p>
        </w:tc>
      </w:tr>
      <w:tr>
        <w:trPr/>
        <w:tc>
          <w:tcPr>
            <w:tcW w:w="1040" w:type="dxa"/>
            <w:tcBorders/>
            <w:shd w:fill="FFFFFF" w:val="clear"/>
            <w:vAlign w:val="center"/>
          </w:tcPr>
          <w:p>
            <w:pPr>
              <w:pStyle w:val="TableContents"/>
              <w:bidi w:val="0"/>
              <w:spacing w:before="0" w:after="283"/>
              <w:jc w:val="left"/>
              <w:rPr>
                <w:sz w:val="20"/>
              </w:rPr>
            </w:pPr>
            <w:r>
              <w:rPr>
                <w:sz w:val="20"/>
              </w:rPr>
              <w:t>5.1</w:t>
            </w:r>
          </w:p>
        </w:tc>
        <w:tc>
          <w:tcPr>
            <w:tcW w:w="60" w:type="dxa"/>
            <w:tcBorders/>
            <w:shd w:fill="FFFFFF" w:val="clear"/>
            <w:vAlign w:val="center"/>
          </w:tcPr>
          <w:p>
            <w:pPr>
              <w:pStyle w:val="TableContents"/>
              <w:bidi w:val="0"/>
              <w:spacing w:before="0" w:after="283"/>
              <w:jc w:val="left"/>
              <w:rPr/>
            </w:pPr>
            <w:r>
              <w:rPr/>
              <w:t> </w:t>
            </w:r>
          </w:p>
        </w:tc>
        <w:tc>
          <w:tcPr>
            <w:tcW w:w="9105" w:type="dxa"/>
            <w:tcBorders/>
            <w:shd w:fill="FFFFFF" w:val="clear"/>
            <w:vAlign w:val="center"/>
          </w:tcPr>
          <w:p>
            <w:pPr>
              <w:pStyle w:val="TableContents"/>
              <w:bidi w:val="0"/>
              <w:spacing w:before="0" w:after="283"/>
              <w:jc w:val="both"/>
              <w:rPr/>
            </w:pPr>
            <w:hyperlink r:id="rId11">
              <w:r>
                <w:rPr>
                  <w:rStyle w:val="InternetLink"/>
                  <w:sz w:val="20"/>
                </w:rPr>
                <w:t>Opinion of Fennemore Craig, P.C. (Incorporated by reference to Exhibit 5.1 in the Company’s Registration Statement on Form S-1 (File No. 333-293535), filed with the SEC on February 18, 2026).</w:t>
              </w:r>
            </w:hyperlink>
          </w:p>
        </w:tc>
      </w:tr>
      <w:tr>
        <w:trPr/>
        <w:tc>
          <w:tcPr>
            <w:tcW w:w="1040" w:type="dxa"/>
            <w:tcBorders/>
            <w:shd w:fill="CCEEFF" w:val="clear"/>
            <w:vAlign w:val="center"/>
          </w:tcPr>
          <w:p>
            <w:pPr>
              <w:pStyle w:val="TableContents"/>
              <w:bidi w:val="0"/>
              <w:spacing w:before="0" w:after="283"/>
              <w:jc w:val="left"/>
              <w:rPr>
                <w:sz w:val="20"/>
              </w:rPr>
            </w:pPr>
            <w:r>
              <w:rPr>
                <w:sz w:val="20"/>
              </w:rPr>
              <w:t>10.1#</w:t>
            </w:r>
          </w:p>
        </w:tc>
        <w:tc>
          <w:tcPr>
            <w:tcW w:w="60" w:type="dxa"/>
            <w:tcBorders/>
            <w:shd w:fill="CCEEFF" w:val="clear"/>
            <w:vAlign w:val="center"/>
          </w:tcPr>
          <w:p>
            <w:pPr>
              <w:pStyle w:val="TableContents"/>
              <w:bidi w:val="0"/>
              <w:spacing w:before="0" w:after="283"/>
              <w:jc w:val="left"/>
              <w:rPr/>
            </w:pPr>
            <w:r>
              <w:rPr/>
              <w:t> </w:t>
            </w:r>
          </w:p>
        </w:tc>
        <w:tc>
          <w:tcPr>
            <w:tcW w:w="9105" w:type="dxa"/>
            <w:tcBorders/>
            <w:shd w:fill="CCEEFF" w:val="clear"/>
            <w:vAlign w:val="center"/>
          </w:tcPr>
          <w:p>
            <w:pPr>
              <w:pStyle w:val="TableContents"/>
              <w:bidi w:val="0"/>
              <w:spacing w:before="0" w:after="283"/>
              <w:jc w:val="both"/>
              <w:rPr/>
            </w:pPr>
            <w:hyperlink r:id="rId12">
              <w:r>
                <w:rPr>
                  <w:rStyle w:val="InternetLink"/>
                  <w:sz w:val="20"/>
                </w:rPr>
                <w:t>Letter of Intent, dated as of October 16, 2024, by and between Richtech Robotics Inc. and Ghost Kitchens America (Incorporated by reference to Exhibit 10.1 in the Company’s Current Report on Form 8-K, filed with the SEC on October 22, 2024).</w:t>
              </w:r>
            </w:hyperlink>
          </w:p>
        </w:tc>
      </w:tr>
      <w:tr>
        <w:trPr/>
        <w:tc>
          <w:tcPr>
            <w:tcW w:w="1040" w:type="dxa"/>
            <w:tcBorders/>
            <w:shd w:fill="FFFFFF" w:val="clear"/>
            <w:vAlign w:val="center"/>
          </w:tcPr>
          <w:p>
            <w:pPr>
              <w:pStyle w:val="TableContents"/>
              <w:bidi w:val="0"/>
              <w:spacing w:before="0" w:after="283"/>
              <w:jc w:val="left"/>
              <w:rPr>
                <w:sz w:val="20"/>
              </w:rPr>
            </w:pPr>
            <w:r>
              <w:rPr>
                <w:sz w:val="20"/>
              </w:rPr>
              <w:t>10.2</w:t>
            </w:r>
          </w:p>
        </w:tc>
        <w:tc>
          <w:tcPr>
            <w:tcW w:w="60" w:type="dxa"/>
            <w:tcBorders/>
            <w:shd w:fill="FFFFFF" w:val="clear"/>
            <w:vAlign w:val="center"/>
          </w:tcPr>
          <w:p>
            <w:pPr>
              <w:pStyle w:val="TableContents"/>
              <w:bidi w:val="0"/>
              <w:spacing w:before="0" w:after="283"/>
              <w:jc w:val="left"/>
              <w:rPr/>
            </w:pPr>
            <w:r>
              <w:rPr/>
              <w:t> </w:t>
            </w:r>
          </w:p>
        </w:tc>
        <w:tc>
          <w:tcPr>
            <w:tcW w:w="9105" w:type="dxa"/>
            <w:tcBorders/>
            <w:shd w:fill="FFFFFF" w:val="clear"/>
            <w:vAlign w:val="center"/>
          </w:tcPr>
          <w:p>
            <w:pPr>
              <w:pStyle w:val="TableContents"/>
              <w:bidi w:val="0"/>
              <w:spacing w:before="0" w:after="283"/>
              <w:jc w:val="both"/>
              <w:rPr/>
            </w:pPr>
            <w:hyperlink r:id="rId13">
              <w:r>
                <w:rPr>
                  <w:rStyle w:val="InternetLink"/>
                  <w:sz w:val="20"/>
                </w:rPr>
                <w:t>Form of Invention Assignment Agreement (Incorporated by reference to Exhibit 10.4 in the Company’s Registration Statement on Form S-1/A (File No. 333-273628), filed with the SEC on November 1, 2023).</w:t>
              </w:r>
            </w:hyperlink>
          </w:p>
        </w:tc>
      </w:tr>
      <w:tr>
        <w:trPr/>
        <w:tc>
          <w:tcPr>
            <w:tcW w:w="1040" w:type="dxa"/>
            <w:tcBorders/>
            <w:shd w:fill="CCEEFF" w:val="clear"/>
            <w:vAlign w:val="center"/>
          </w:tcPr>
          <w:p>
            <w:pPr>
              <w:pStyle w:val="TableContents"/>
              <w:bidi w:val="0"/>
              <w:spacing w:before="0" w:after="283"/>
              <w:jc w:val="left"/>
              <w:rPr>
                <w:sz w:val="20"/>
              </w:rPr>
            </w:pPr>
            <w:r>
              <w:rPr>
                <w:sz w:val="20"/>
              </w:rPr>
              <w:t>10.3</w:t>
            </w:r>
          </w:p>
        </w:tc>
        <w:tc>
          <w:tcPr>
            <w:tcW w:w="60" w:type="dxa"/>
            <w:tcBorders/>
            <w:shd w:fill="CCEEFF" w:val="clear"/>
            <w:vAlign w:val="center"/>
          </w:tcPr>
          <w:p>
            <w:pPr>
              <w:pStyle w:val="TableContents"/>
              <w:bidi w:val="0"/>
              <w:spacing w:before="0" w:after="283"/>
              <w:jc w:val="left"/>
              <w:rPr/>
            </w:pPr>
            <w:r>
              <w:rPr/>
              <w:t> </w:t>
            </w:r>
          </w:p>
        </w:tc>
        <w:tc>
          <w:tcPr>
            <w:tcW w:w="9105" w:type="dxa"/>
            <w:tcBorders/>
            <w:shd w:fill="CCEEFF" w:val="clear"/>
            <w:vAlign w:val="center"/>
          </w:tcPr>
          <w:p>
            <w:pPr>
              <w:pStyle w:val="TableContents"/>
              <w:bidi w:val="0"/>
              <w:spacing w:before="0" w:after="283"/>
              <w:jc w:val="both"/>
              <w:rPr/>
            </w:pPr>
            <w:hyperlink r:id="rId14">
              <w:r>
                <w:rPr>
                  <w:rStyle w:val="InternetLink"/>
                  <w:sz w:val="20"/>
                </w:rPr>
                <w:t>Form of Stock Purchase Agreement (Pre-IPO Private Placement) (Incorporated by reference to Exhibit 10.5 in the Company’s Registration Statement on Form S-1/A (File No. 333-273628), filed with the SEC on November 1, 2023).</w:t>
              </w:r>
            </w:hyperlink>
          </w:p>
        </w:tc>
      </w:tr>
      <w:tr>
        <w:trPr/>
        <w:tc>
          <w:tcPr>
            <w:tcW w:w="1040" w:type="dxa"/>
            <w:tcBorders/>
            <w:shd w:fill="FFFFFF" w:val="clear"/>
            <w:vAlign w:val="center"/>
          </w:tcPr>
          <w:p>
            <w:pPr>
              <w:pStyle w:val="TableContents"/>
              <w:bidi w:val="0"/>
              <w:spacing w:before="0" w:after="283"/>
              <w:jc w:val="left"/>
              <w:rPr>
                <w:sz w:val="20"/>
              </w:rPr>
            </w:pPr>
            <w:r>
              <w:rPr>
                <w:sz w:val="20"/>
              </w:rPr>
              <w:t>10.4</w:t>
            </w:r>
          </w:p>
        </w:tc>
        <w:tc>
          <w:tcPr>
            <w:tcW w:w="60" w:type="dxa"/>
            <w:tcBorders/>
            <w:shd w:fill="FFFFFF" w:val="clear"/>
            <w:vAlign w:val="center"/>
          </w:tcPr>
          <w:p>
            <w:pPr>
              <w:pStyle w:val="TableContents"/>
              <w:bidi w:val="0"/>
              <w:spacing w:before="0" w:after="283"/>
              <w:jc w:val="left"/>
              <w:rPr/>
            </w:pPr>
            <w:r>
              <w:rPr/>
              <w:t> </w:t>
            </w:r>
          </w:p>
        </w:tc>
        <w:tc>
          <w:tcPr>
            <w:tcW w:w="9105" w:type="dxa"/>
            <w:tcBorders/>
            <w:shd w:fill="FFFFFF" w:val="clear"/>
            <w:vAlign w:val="center"/>
          </w:tcPr>
          <w:p>
            <w:pPr>
              <w:pStyle w:val="TableContents"/>
              <w:bidi w:val="0"/>
              <w:spacing w:before="0" w:after="283"/>
              <w:jc w:val="both"/>
              <w:rPr/>
            </w:pPr>
            <w:hyperlink r:id="rId15">
              <w:r>
                <w:rPr>
                  <w:rStyle w:val="InternetLink"/>
                  <w:sz w:val="20"/>
                </w:rPr>
                <w:t>Second Amended and Restated Richtech Robotics, Inc. 2023 Stock Option Plan (Incorporated herein by reference to Exhibit 10.1 of the Company’s Current Report on Form 8-K, filed with the Commission on November 17, 2025).</w:t>
              </w:r>
            </w:hyperlink>
          </w:p>
        </w:tc>
      </w:tr>
      <w:tr>
        <w:trPr/>
        <w:tc>
          <w:tcPr>
            <w:tcW w:w="1040" w:type="dxa"/>
            <w:tcBorders/>
            <w:shd w:fill="CCEEFF" w:val="clear"/>
            <w:vAlign w:val="center"/>
          </w:tcPr>
          <w:p>
            <w:pPr>
              <w:pStyle w:val="TableContents"/>
              <w:bidi w:val="0"/>
              <w:spacing w:before="0" w:after="283"/>
              <w:jc w:val="left"/>
              <w:rPr>
                <w:sz w:val="20"/>
              </w:rPr>
            </w:pPr>
            <w:r>
              <w:rPr>
                <w:sz w:val="20"/>
              </w:rPr>
              <w:t>10.5</w:t>
            </w:r>
          </w:p>
        </w:tc>
        <w:tc>
          <w:tcPr>
            <w:tcW w:w="60" w:type="dxa"/>
            <w:tcBorders/>
            <w:shd w:fill="CCEEFF" w:val="clear"/>
            <w:vAlign w:val="center"/>
          </w:tcPr>
          <w:p>
            <w:pPr>
              <w:pStyle w:val="TableContents"/>
              <w:bidi w:val="0"/>
              <w:spacing w:before="0" w:after="283"/>
              <w:jc w:val="left"/>
              <w:rPr/>
            </w:pPr>
            <w:r>
              <w:rPr/>
              <w:t> </w:t>
            </w:r>
          </w:p>
        </w:tc>
        <w:tc>
          <w:tcPr>
            <w:tcW w:w="9105" w:type="dxa"/>
            <w:tcBorders/>
            <w:shd w:fill="CCEEFF" w:val="clear"/>
            <w:vAlign w:val="center"/>
          </w:tcPr>
          <w:p>
            <w:pPr>
              <w:pStyle w:val="TableContents"/>
              <w:bidi w:val="0"/>
              <w:spacing w:before="0" w:after="283"/>
              <w:jc w:val="both"/>
              <w:rPr/>
            </w:pPr>
            <w:hyperlink r:id="rId16">
              <w:r>
                <w:rPr>
                  <w:rStyle w:val="InternetLink"/>
                  <w:sz w:val="20"/>
                </w:rPr>
                <w:t>Form of Stock Option Agreement (Incorporated by reference to Exhibit 10.7 in the Company’s Registration Statement on Form S-1/A (File No. 333-273628), filed with the SEC on November 1, 2023).</w:t>
              </w:r>
            </w:hyperlink>
          </w:p>
        </w:tc>
      </w:tr>
      <w:tr>
        <w:trPr/>
        <w:tc>
          <w:tcPr>
            <w:tcW w:w="1040" w:type="dxa"/>
            <w:tcBorders/>
            <w:shd w:fill="FFFFFF" w:val="clear"/>
            <w:vAlign w:val="center"/>
          </w:tcPr>
          <w:p>
            <w:pPr>
              <w:pStyle w:val="TableContents"/>
              <w:bidi w:val="0"/>
              <w:spacing w:before="0" w:after="283"/>
              <w:jc w:val="left"/>
              <w:rPr>
                <w:sz w:val="20"/>
              </w:rPr>
            </w:pPr>
            <w:r>
              <w:rPr>
                <w:sz w:val="20"/>
              </w:rPr>
              <w:t>10.6</w:t>
            </w:r>
          </w:p>
        </w:tc>
        <w:tc>
          <w:tcPr>
            <w:tcW w:w="60" w:type="dxa"/>
            <w:tcBorders/>
            <w:shd w:fill="FFFFFF" w:val="clear"/>
            <w:vAlign w:val="center"/>
          </w:tcPr>
          <w:p>
            <w:pPr>
              <w:pStyle w:val="TableContents"/>
              <w:bidi w:val="0"/>
              <w:spacing w:before="0" w:after="283"/>
              <w:jc w:val="left"/>
              <w:rPr/>
            </w:pPr>
            <w:r>
              <w:rPr/>
              <w:t> </w:t>
            </w:r>
          </w:p>
        </w:tc>
        <w:tc>
          <w:tcPr>
            <w:tcW w:w="9105" w:type="dxa"/>
            <w:tcBorders/>
            <w:shd w:fill="FFFFFF" w:val="clear"/>
            <w:vAlign w:val="center"/>
          </w:tcPr>
          <w:p>
            <w:pPr>
              <w:pStyle w:val="TableContents"/>
              <w:bidi w:val="0"/>
              <w:spacing w:before="0" w:after="283"/>
              <w:jc w:val="both"/>
              <w:rPr/>
            </w:pPr>
            <w:hyperlink r:id="rId17">
              <w:r>
                <w:rPr>
                  <w:rStyle w:val="InternetLink"/>
                  <w:sz w:val="20"/>
                </w:rPr>
                <w:t>Form of Stock Purchase Agreement (Incorporated by reference to Exhibit 10.8 in the Company’s Registration Statement on Form S-1/A (File No. 333-273628), filed with the SEC on November 1, 2023).</w:t>
              </w:r>
            </w:hyperlink>
          </w:p>
        </w:tc>
      </w:tr>
      <w:tr>
        <w:trPr/>
        <w:tc>
          <w:tcPr>
            <w:tcW w:w="1040" w:type="dxa"/>
            <w:tcBorders/>
            <w:shd w:fill="CCEEFF" w:val="clear"/>
            <w:vAlign w:val="center"/>
          </w:tcPr>
          <w:p>
            <w:pPr>
              <w:pStyle w:val="TableContents"/>
              <w:bidi w:val="0"/>
              <w:spacing w:before="0" w:after="283"/>
              <w:jc w:val="left"/>
              <w:rPr>
                <w:sz w:val="20"/>
              </w:rPr>
            </w:pPr>
            <w:r>
              <w:rPr>
                <w:sz w:val="20"/>
              </w:rPr>
              <w:t>10.7</w:t>
            </w:r>
          </w:p>
        </w:tc>
        <w:tc>
          <w:tcPr>
            <w:tcW w:w="60" w:type="dxa"/>
            <w:tcBorders/>
            <w:shd w:fill="CCEEFF" w:val="clear"/>
            <w:vAlign w:val="center"/>
          </w:tcPr>
          <w:p>
            <w:pPr>
              <w:pStyle w:val="TableContents"/>
              <w:bidi w:val="0"/>
              <w:spacing w:before="0" w:after="283"/>
              <w:jc w:val="left"/>
              <w:rPr/>
            </w:pPr>
            <w:r>
              <w:rPr/>
              <w:t> </w:t>
            </w:r>
          </w:p>
        </w:tc>
        <w:tc>
          <w:tcPr>
            <w:tcW w:w="9105" w:type="dxa"/>
            <w:tcBorders/>
            <w:shd w:fill="CCEEFF" w:val="clear"/>
            <w:vAlign w:val="center"/>
          </w:tcPr>
          <w:p>
            <w:pPr>
              <w:pStyle w:val="TableContents"/>
              <w:bidi w:val="0"/>
              <w:spacing w:before="0" w:after="283"/>
              <w:jc w:val="both"/>
              <w:rPr/>
            </w:pPr>
            <w:hyperlink r:id="rId18">
              <w:r>
                <w:rPr>
                  <w:rStyle w:val="InternetLink"/>
                  <w:sz w:val="20"/>
                </w:rPr>
                <w:t>Employment Agreement between the Company and Zhenwu Huang (Incorporated by reference to Exhibit 10.9 in the Company’s Registration Statement on Form S-1/A (File No. 333-273628), filed with the SEC on November 1, 2023).</w:t>
              </w:r>
            </w:hyperlink>
          </w:p>
        </w:tc>
      </w:tr>
    </w:tbl>
    <w:p>
      <w:pPr>
        <w:pStyle w:val="TextBody"/>
        <w:bidi w:val="0"/>
        <w:spacing w:before="0" w:after="0"/>
        <w:ind w:left="0" w:right="0" w:hanging="10"/>
        <w:jc w:val="both"/>
        <w:rPr>
          <w:caps w:val="false"/>
          <w:smallCaps w:val="false"/>
        </w:rPr>
      </w:pPr>
      <w:r>
        <w:rPr>
          <w:caps w:val="false"/>
          <w:smallCaps w:val="false"/>
        </w:rPr>
        <w:t> </w:t>
      </w:r>
    </w:p>
    <w:p>
      <w:pPr>
        <w:pStyle w:val="TextBody"/>
        <w:bidi w:val="0"/>
        <w:spacing w:before="0" w:after="0"/>
        <w:ind w:left="0" w:right="0" w:hanging="1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II-1</w:t>
      </w:r>
    </w:p>
    <w:p>
      <w:pPr>
        <w:pStyle w:val="TextBody"/>
        <w:bidi w:val="0"/>
        <w:spacing w:before="0" w:after="0"/>
        <w:ind w:left="0" w:right="0" w:hanging="0"/>
        <w:jc w:val="left"/>
        <w:rPr/>
      </w:pPr>
      <w:r>
        <w:rPr/>
        <w:t> </w:t>
      </w:r>
    </w:p>
    <w:p>
      <w:pPr>
        <w:pStyle w:val="TextBody"/>
        <w:bidi w:val="0"/>
        <w:spacing w:before="0" w:after="0"/>
        <w:ind w:left="0" w:right="0" w:hanging="1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00"/>
        <w:gridCol w:w="60"/>
        <w:gridCol w:w="9645"/>
      </w:tblGrid>
      <w:tr>
        <w:trPr/>
        <w:tc>
          <w:tcPr>
            <w:tcW w:w="500" w:type="dxa"/>
            <w:tcBorders/>
            <w:shd w:fill="CCEEFF" w:val="clear"/>
            <w:vAlign w:val="center"/>
          </w:tcPr>
          <w:p>
            <w:pPr>
              <w:pStyle w:val="TableContents"/>
              <w:bidi w:val="0"/>
              <w:spacing w:before="0" w:after="283"/>
              <w:jc w:val="left"/>
              <w:rPr>
                <w:sz w:val="20"/>
              </w:rPr>
            </w:pPr>
            <w:r>
              <w:rPr>
                <w:sz w:val="20"/>
              </w:rPr>
              <w:t>10.8</w:t>
            </w:r>
          </w:p>
        </w:tc>
        <w:tc>
          <w:tcPr>
            <w:tcW w:w="60" w:type="dxa"/>
            <w:tcBorders/>
            <w:shd w:fill="CCEEFF" w:val="clear"/>
            <w:vAlign w:val="center"/>
          </w:tcPr>
          <w:p>
            <w:pPr>
              <w:pStyle w:val="TableContents"/>
              <w:bidi w:val="0"/>
              <w:spacing w:before="0" w:after="283"/>
              <w:jc w:val="left"/>
              <w:rPr/>
            </w:pPr>
            <w:r>
              <w:rPr/>
              <w:t> </w:t>
            </w:r>
          </w:p>
        </w:tc>
        <w:tc>
          <w:tcPr>
            <w:tcW w:w="9645" w:type="dxa"/>
            <w:tcBorders/>
            <w:shd w:fill="CCEEFF" w:val="clear"/>
            <w:vAlign w:val="center"/>
          </w:tcPr>
          <w:p>
            <w:pPr>
              <w:pStyle w:val="TableContents"/>
              <w:bidi w:val="0"/>
              <w:spacing w:before="0" w:after="283"/>
              <w:jc w:val="both"/>
              <w:rPr/>
            </w:pPr>
            <w:hyperlink r:id="rId19">
              <w:r>
                <w:rPr>
                  <w:rStyle w:val="InternetLink"/>
                  <w:sz w:val="20"/>
                </w:rPr>
                <w:t>Employment Agreement between the Company and Zhenqiang Huang (Incorporated by reference to Exhibit 10.10 in the Company’s Registration Statement on Form S-1/A (File No. 333-273628), filed with the SEC on November 1, 2023).</w:t>
              </w:r>
            </w:hyperlink>
          </w:p>
        </w:tc>
      </w:tr>
      <w:tr>
        <w:trPr/>
        <w:tc>
          <w:tcPr>
            <w:tcW w:w="500" w:type="dxa"/>
            <w:tcBorders/>
            <w:shd w:fill="FFFFFF" w:val="clear"/>
            <w:vAlign w:val="center"/>
          </w:tcPr>
          <w:p>
            <w:pPr>
              <w:pStyle w:val="TableContents"/>
              <w:bidi w:val="0"/>
              <w:spacing w:before="0" w:after="283"/>
              <w:jc w:val="left"/>
              <w:rPr>
                <w:sz w:val="20"/>
              </w:rPr>
            </w:pPr>
            <w:r>
              <w:rPr>
                <w:sz w:val="20"/>
              </w:rPr>
              <w:t>10.9</w:t>
            </w:r>
          </w:p>
        </w:tc>
        <w:tc>
          <w:tcPr>
            <w:tcW w:w="60" w:type="dxa"/>
            <w:tcBorders/>
            <w:shd w:fill="FFFFFF" w:val="clear"/>
            <w:vAlign w:val="center"/>
          </w:tcPr>
          <w:p>
            <w:pPr>
              <w:pStyle w:val="TableContents"/>
              <w:bidi w:val="0"/>
              <w:spacing w:before="0" w:after="283"/>
              <w:jc w:val="left"/>
              <w:rPr/>
            </w:pPr>
            <w:r>
              <w:rPr/>
              <w:t> </w:t>
            </w:r>
          </w:p>
        </w:tc>
        <w:tc>
          <w:tcPr>
            <w:tcW w:w="9645" w:type="dxa"/>
            <w:tcBorders/>
            <w:shd w:fill="FFFFFF" w:val="clear"/>
            <w:vAlign w:val="center"/>
          </w:tcPr>
          <w:p>
            <w:pPr>
              <w:pStyle w:val="TableContents"/>
              <w:bidi w:val="0"/>
              <w:spacing w:before="0" w:after="283"/>
              <w:jc w:val="both"/>
              <w:rPr/>
            </w:pPr>
            <w:hyperlink r:id="rId20">
              <w:r>
                <w:rPr>
                  <w:rStyle w:val="InternetLink"/>
                  <w:sz w:val="20"/>
                </w:rPr>
                <w:t>Employment Agreement between the Company and Phil Zheng (Incorporated by reference to Exhibit 10.11 in the Company’s Registration Statement on Form S-1/A (File No. 333-273628), filed with the SEC on November 1, 2023).</w:t>
              </w:r>
            </w:hyperlink>
          </w:p>
        </w:tc>
      </w:tr>
      <w:tr>
        <w:trPr/>
        <w:tc>
          <w:tcPr>
            <w:tcW w:w="500" w:type="dxa"/>
            <w:tcBorders/>
            <w:shd w:fill="CCEEFF" w:val="clear"/>
            <w:vAlign w:val="center"/>
          </w:tcPr>
          <w:p>
            <w:pPr>
              <w:pStyle w:val="TableContents"/>
              <w:bidi w:val="0"/>
              <w:spacing w:before="0" w:after="283"/>
              <w:jc w:val="left"/>
              <w:rPr>
                <w:sz w:val="20"/>
              </w:rPr>
            </w:pPr>
            <w:r>
              <w:rPr>
                <w:sz w:val="20"/>
              </w:rPr>
              <w:t>10.10</w:t>
            </w:r>
          </w:p>
        </w:tc>
        <w:tc>
          <w:tcPr>
            <w:tcW w:w="60" w:type="dxa"/>
            <w:tcBorders/>
            <w:shd w:fill="CCEEFF" w:val="clear"/>
            <w:vAlign w:val="center"/>
          </w:tcPr>
          <w:p>
            <w:pPr>
              <w:pStyle w:val="TableContents"/>
              <w:bidi w:val="0"/>
              <w:spacing w:before="0" w:after="283"/>
              <w:jc w:val="left"/>
              <w:rPr/>
            </w:pPr>
            <w:r>
              <w:rPr/>
              <w:t> </w:t>
            </w:r>
          </w:p>
        </w:tc>
        <w:tc>
          <w:tcPr>
            <w:tcW w:w="9645" w:type="dxa"/>
            <w:tcBorders/>
            <w:shd w:fill="CCEEFF" w:val="clear"/>
            <w:vAlign w:val="center"/>
          </w:tcPr>
          <w:p>
            <w:pPr>
              <w:pStyle w:val="TableContents"/>
              <w:bidi w:val="0"/>
              <w:spacing w:before="0" w:after="283"/>
              <w:jc w:val="both"/>
              <w:rPr/>
            </w:pPr>
            <w:hyperlink r:id="rId21">
              <w:r>
                <w:rPr>
                  <w:rStyle w:val="InternetLink"/>
                  <w:sz w:val="20"/>
                </w:rPr>
                <w:t>Standby Equity Purchase Agreement, dated February 15, 2024, by and between the Company and YA II PN, Ltd. (Incorporated by reference to Exhibit 10.1 in the Company’s Current Report on Form 8-K, filed with the SEC on February 21, 2024).</w:t>
              </w:r>
            </w:hyperlink>
          </w:p>
        </w:tc>
      </w:tr>
      <w:tr>
        <w:trPr/>
        <w:tc>
          <w:tcPr>
            <w:tcW w:w="500" w:type="dxa"/>
            <w:tcBorders/>
            <w:shd w:fill="FFFFFF" w:val="clear"/>
            <w:vAlign w:val="center"/>
          </w:tcPr>
          <w:p>
            <w:pPr>
              <w:pStyle w:val="TableContents"/>
              <w:bidi w:val="0"/>
              <w:spacing w:before="0" w:after="283"/>
              <w:jc w:val="left"/>
              <w:rPr>
                <w:sz w:val="20"/>
              </w:rPr>
            </w:pPr>
            <w:r>
              <w:rPr>
                <w:sz w:val="20"/>
              </w:rPr>
              <w:t>10.11</w:t>
            </w:r>
          </w:p>
        </w:tc>
        <w:tc>
          <w:tcPr>
            <w:tcW w:w="60" w:type="dxa"/>
            <w:tcBorders/>
            <w:shd w:fill="FFFFFF" w:val="clear"/>
            <w:vAlign w:val="center"/>
          </w:tcPr>
          <w:p>
            <w:pPr>
              <w:pStyle w:val="TableContents"/>
              <w:bidi w:val="0"/>
              <w:spacing w:before="0" w:after="283"/>
              <w:jc w:val="left"/>
              <w:rPr/>
            </w:pPr>
            <w:r>
              <w:rPr/>
              <w:t> </w:t>
            </w:r>
          </w:p>
        </w:tc>
        <w:tc>
          <w:tcPr>
            <w:tcW w:w="9645" w:type="dxa"/>
            <w:tcBorders/>
            <w:shd w:fill="FFFFFF" w:val="clear"/>
            <w:vAlign w:val="center"/>
          </w:tcPr>
          <w:p>
            <w:pPr>
              <w:pStyle w:val="TableContents"/>
              <w:bidi w:val="0"/>
              <w:spacing w:before="0" w:after="283"/>
              <w:jc w:val="both"/>
              <w:rPr/>
            </w:pPr>
            <w:hyperlink r:id="rId22">
              <w:r>
                <w:rPr>
                  <w:rStyle w:val="InternetLink"/>
                  <w:sz w:val="20"/>
                </w:rPr>
                <w:t>Letter Agreement, dated March 14, 2024, by and between the Company and YA II PN, Ltd. (Incorporated by reference to Exhibit 10.1 in the Company’s Current Report on Form 8-K, filed with the SEC on March 15, 2024).</w:t>
              </w:r>
            </w:hyperlink>
          </w:p>
        </w:tc>
      </w:tr>
      <w:tr>
        <w:trPr/>
        <w:tc>
          <w:tcPr>
            <w:tcW w:w="500" w:type="dxa"/>
            <w:tcBorders/>
            <w:shd w:fill="CCEEFF" w:val="clear"/>
            <w:vAlign w:val="center"/>
          </w:tcPr>
          <w:p>
            <w:pPr>
              <w:pStyle w:val="TableContents"/>
              <w:bidi w:val="0"/>
              <w:spacing w:before="0" w:after="283"/>
              <w:jc w:val="left"/>
              <w:rPr>
                <w:sz w:val="20"/>
              </w:rPr>
            </w:pPr>
            <w:r>
              <w:rPr>
                <w:sz w:val="20"/>
              </w:rPr>
              <w:t>10.12</w:t>
            </w:r>
          </w:p>
        </w:tc>
        <w:tc>
          <w:tcPr>
            <w:tcW w:w="60" w:type="dxa"/>
            <w:tcBorders/>
            <w:shd w:fill="CCEEFF" w:val="clear"/>
            <w:vAlign w:val="center"/>
          </w:tcPr>
          <w:p>
            <w:pPr>
              <w:pStyle w:val="TableContents"/>
              <w:bidi w:val="0"/>
              <w:spacing w:before="0" w:after="283"/>
              <w:jc w:val="left"/>
              <w:rPr/>
            </w:pPr>
            <w:r>
              <w:rPr/>
              <w:t> </w:t>
            </w:r>
          </w:p>
        </w:tc>
        <w:tc>
          <w:tcPr>
            <w:tcW w:w="9645" w:type="dxa"/>
            <w:tcBorders/>
            <w:shd w:fill="CCEEFF" w:val="clear"/>
            <w:vAlign w:val="center"/>
          </w:tcPr>
          <w:p>
            <w:pPr>
              <w:pStyle w:val="TableContents"/>
              <w:bidi w:val="0"/>
              <w:spacing w:before="0" w:after="283"/>
              <w:jc w:val="both"/>
              <w:rPr/>
            </w:pPr>
            <w:hyperlink r:id="rId23">
              <w:r>
                <w:rPr>
                  <w:rStyle w:val="InternetLink"/>
                  <w:sz w:val="20"/>
                </w:rPr>
                <w:t>Form of Securities Purchase Agreement (Incorporated by reference to Exhibit 10.1 in the Company’s Current Report on Form 8-K, filed with the SEC on September 5, 2024).</w:t>
              </w:r>
            </w:hyperlink>
          </w:p>
        </w:tc>
      </w:tr>
      <w:tr>
        <w:trPr/>
        <w:tc>
          <w:tcPr>
            <w:tcW w:w="500" w:type="dxa"/>
            <w:tcBorders/>
            <w:shd w:fill="FFFFFF" w:val="clear"/>
            <w:vAlign w:val="center"/>
          </w:tcPr>
          <w:p>
            <w:pPr>
              <w:pStyle w:val="TableContents"/>
              <w:bidi w:val="0"/>
              <w:spacing w:before="0" w:after="283"/>
              <w:jc w:val="left"/>
              <w:rPr>
                <w:sz w:val="20"/>
              </w:rPr>
            </w:pPr>
            <w:r>
              <w:rPr>
                <w:sz w:val="20"/>
              </w:rPr>
              <w:t>10.13</w:t>
            </w:r>
          </w:p>
        </w:tc>
        <w:tc>
          <w:tcPr>
            <w:tcW w:w="60" w:type="dxa"/>
            <w:tcBorders/>
            <w:shd w:fill="FFFFFF" w:val="clear"/>
            <w:vAlign w:val="center"/>
          </w:tcPr>
          <w:p>
            <w:pPr>
              <w:pStyle w:val="TableContents"/>
              <w:bidi w:val="0"/>
              <w:spacing w:before="0" w:after="283"/>
              <w:jc w:val="left"/>
              <w:rPr/>
            </w:pPr>
            <w:r>
              <w:rPr/>
              <w:t> </w:t>
            </w:r>
          </w:p>
        </w:tc>
        <w:tc>
          <w:tcPr>
            <w:tcW w:w="9645" w:type="dxa"/>
            <w:tcBorders/>
            <w:shd w:fill="FFFFFF" w:val="clear"/>
            <w:vAlign w:val="center"/>
          </w:tcPr>
          <w:p>
            <w:pPr>
              <w:pStyle w:val="TableContents"/>
              <w:bidi w:val="0"/>
              <w:spacing w:before="0" w:after="283"/>
              <w:jc w:val="both"/>
              <w:rPr/>
            </w:pPr>
            <w:hyperlink r:id="rId24">
              <w:r>
                <w:rPr>
                  <w:rStyle w:val="InternetLink"/>
                  <w:sz w:val="20"/>
                </w:rPr>
                <w:t>Form of Inducement Letter (Incorporated by reference to Exhibit 10.1 in the Company’s Current Report on Form 8-K, filed with the SEC on February 11, 2025).</w:t>
              </w:r>
            </w:hyperlink>
          </w:p>
        </w:tc>
      </w:tr>
      <w:tr>
        <w:trPr/>
        <w:tc>
          <w:tcPr>
            <w:tcW w:w="500" w:type="dxa"/>
            <w:tcBorders/>
            <w:shd w:fill="CCEEFF" w:val="clear"/>
            <w:vAlign w:val="center"/>
          </w:tcPr>
          <w:p>
            <w:pPr>
              <w:pStyle w:val="TableContents"/>
              <w:bidi w:val="0"/>
              <w:spacing w:before="0" w:after="283"/>
              <w:jc w:val="left"/>
              <w:rPr>
                <w:sz w:val="20"/>
              </w:rPr>
            </w:pPr>
            <w:r>
              <w:rPr>
                <w:sz w:val="20"/>
              </w:rPr>
              <w:t>10.14</w:t>
            </w:r>
          </w:p>
        </w:tc>
        <w:tc>
          <w:tcPr>
            <w:tcW w:w="60" w:type="dxa"/>
            <w:tcBorders/>
            <w:shd w:fill="CCEEFF" w:val="clear"/>
            <w:vAlign w:val="center"/>
          </w:tcPr>
          <w:p>
            <w:pPr>
              <w:pStyle w:val="TableContents"/>
              <w:bidi w:val="0"/>
              <w:spacing w:before="0" w:after="283"/>
              <w:jc w:val="left"/>
              <w:rPr/>
            </w:pPr>
            <w:r>
              <w:rPr/>
              <w:t> </w:t>
            </w:r>
          </w:p>
        </w:tc>
        <w:tc>
          <w:tcPr>
            <w:tcW w:w="9645" w:type="dxa"/>
            <w:tcBorders/>
            <w:shd w:fill="CCEEFF" w:val="clear"/>
            <w:vAlign w:val="center"/>
          </w:tcPr>
          <w:p>
            <w:pPr>
              <w:pStyle w:val="TableContents"/>
              <w:bidi w:val="0"/>
              <w:spacing w:before="0" w:after="283"/>
              <w:jc w:val="both"/>
              <w:rPr/>
            </w:pPr>
            <w:hyperlink r:id="rId25">
              <w:r>
                <w:rPr>
                  <w:rStyle w:val="InternetLink"/>
                  <w:sz w:val="20"/>
                </w:rPr>
                <w:t>Purchase and Sale Agreement, dated April 8, 2025, by and between the Company and L &amp; R Investment LLC (Incorporated by reference to Exhibit 10.1 in the Company’s Current Report on Form 8-K, filed with the SEC on April 14, 2025).</w:t>
              </w:r>
            </w:hyperlink>
          </w:p>
        </w:tc>
      </w:tr>
      <w:tr>
        <w:trPr/>
        <w:tc>
          <w:tcPr>
            <w:tcW w:w="500" w:type="dxa"/>
            <w:tcBorders/>
            <w:shd w:fill="FFFFFF" w:val="clear"/>
            <w:vAlign w:val="center"/>
          </w:tcPr>
          <w:p>
            <w:pPr>
              <w:pStyle w:val="TableContents"/>
              <w:bidi w:val="0"/>
              <w:spacing w:before="0" w:after="283"/>
              <w:jc w:val="left"/>
              <w:rPr>
                <w:sz w:val="20"/>
              </w:rPr>
            </w:pPr>
            <w:r>
              <w:rPr>
                <w:sz w:val="20"/>
              </w:rPr>
              <w:t>10.15</w:t>
            </w:r>
          </w:p>
        </w:tc>
        <w:tc>
          <w:tcPr>
            <w:tcW w:w="60" w:type="dxa"/>
            <w:tcBorders/>
            <w:shd w:fill="FFFFFF" w:val="clear"/>
            <w:vAlign w:val="center"/>
          </w:tcPr>
          <w:p>
            <w:pPr>
              <w:pStyle w:val="TableContents"/>
              <w:bidi w:val="0"/>
              <w:spacing w:before="0" w:after="283"/>
              <w:jc w:val="left"/>
              <w:rPr/>
            </w:pPr>
            <w:r>
              <w:rPr/>
              <w:t> </w:t>
            </w:r>
          </w:p>
        </w:tc>
        <w:tc>
          <w:tcPr>
            <w:tcW w:w="9645" w:type="dxa"/>
            <w:tcBorders/>
            <w:shd w:fill="FFFFFF" w:val="clear"/>
            <w:vAlign w:val="center"/>
          </w:tcPr>
          <w:p>
            <w:pPr>
              <w:pStyle w:val="TableContents"/>
              <w:bidi w:val="0"/>
              <w:spacing w:before="0" w:after="283"/>
              <w:jc w:val="both"/>
              <w:rPr/>
            </w:pPr>
            <w:hyperlink r:id="rId26">
              <w:r>
                <w:rPr>
                  <w:rStyle w:val="InternetLink"/>
                  <w:sz w:val="20"/>
                </w:rPr>
                <w:t>Product Sales and Technical Services Agreement, dated as of June 24, 2025, by and between Boyu Artificial Intelligence (Beijing) Technology Co., Ltd. and Beijing Kaiwu Tongchuang Technology Development Co., Ltd (Incorporated by reference to Exhibit 10.1 in the Company’s Current Report on Form 8-K, filed with the SEC on June 30, 2025).</w:t>
              </w:r>
            </w:hyperlink>
          </w:p>
        </w:tc>
      </w:tr>
      <w:tr>
        <w:trPr/>
        <w:tc>
          <w:tcPr>
            <w:tcW w:w="500" w:type="dxa"/>
            <w:tcBorders/>
            <w:shd w:fill="CCEEFF" w:val="clear"/>
            <w:vAlign w:val="center"/>
          </w:tcPr>
          <w:p>
            <w:pPr>
              <w:pStyle w:val="TableContents"/>
              <w:bidi w:val="0"/>
              <w:spacing w:before="0" w:after="283"/>
              <w:jc w:val="left"/>
              <w:rPr>
                <w:sz w:val="20"/>
              </w:rPr>
            </w:pPr>
            <w:r>
              <w:rPr>
                <w:sz w:val="20"/>
              </w:rPr>
              <w:t>10.16</w:t>
            </w:r>
          </w:p>
        </w:tc>
        <w:tc>
          <w:tcPr>
            <w:tcW w:w="60" w:type="dxa"/>
            <w:tcBorders/>
            <w:shd w:fill="CCEEFF" w:val="clear"/>
            <w:vAlign w:val="center"/>
          </w:tcPr>
          <w:p>
            <w:pPr>
              <w:pStyle w:val="TableContents"/>
              <w:bidi w:val="0"/>
              <w:spacing w:before="0" w:after="283"/>
              <w:jc w:val="left"/>
              <w:rPr/>
            </w:pPr>
            <w:r>
              <w:rPr/>
              <w:t> </w:t>
            </w:r>
          </w:p>
        </w:tc>
        <w:tc>
          <w:tcPr>
            <w:tcW w:w="9645" w:type="dxa"/>
            <w:tcBorders/>
            <w:shd w:fill="CCEEFF" w:val="clear"/>
            <w:vAlign w:val="center"/>
          </w:tcPr>
          <w:p>
            <w:pPr>
              <w:pStyle w:val="TableContents"/>
              <w:bidi w:val="0"/>
              <w:spacing w:before="0" w:after="283"/>
              <w:jc w:val="both"/>
              <w:rPr/>
            </w:pPr>
            <w:hyperlink r:id="rId27">
              <w:r>
                <w:rPr>
                  <w:rStyle w:val="InternetLink"/>
                  <w:sz w:val="20"/>
                </w:rPr>
                <w:t>Master Services Agreement, dated August 21, 2025 (Incorporated by reference to Exhibit 10.1 in the Company’s Current Report on Form 8-K, filed with the SEC on August 25, 2025).</w:t>
              </w:r>
            </w:hyperlink>
          </w:p>
        </w:tc>
      </w:tr>
      <w:tr>
        <w:trPr/>
        <w:tc>
          <w:tcPr>
            <w:tcW w:w="500" w:type="dxa"/>
            <w:tcBorders/>
            <w:shd w:fill="FFFFFF" w:val="clear"/>
            <w:vAlign w:val="center"/>
          </w:tcPr>
          <w:p>
            <w:pPr>
              <w:pStyle w:val="TableContents"/>
              <w:bidi w:val="0"/>
              <w:spacing w:before="0" w:after="283"/>
              <w:jc w:val="left"/>
              <w:rPr>
                <w:sz w:val="20"/>
              </w:rPr>
            </w:pPr>
            <w:r>
              <w:rPr>
                <w:sz w:val="20"/>
              </w:rPr>
              <w:t>10.17</w:t>
            </w:r>
          </w:p>
        </w:tc>
        <w:tc>
          <w:tcPr>
            <w:tcW w:w="60" w:type="dxa"/>
            <w:tcBorders/>
            <w:shd w:fill="FFFFFF" w:val="clear"/>
            <w:vAlign w:val="center"/>
          </w:tcPr>
          <w:p>
            <w:pPr>
              <w:pStyle w:val="TableContents"/>
              <w:bidi w:val="0"/>
              <w:spacing w:before="0" w:after="283"/>
              <w:jc w:val="left"/>
              <w:rPr/>
            </w:pPr>
            <w:r>
              <w:rPr/>
              <w:t> </w:t>
            </w:r>
          </w:p>
        </w:tc>
        <w:tc>
          <w:tcPr>
            <w:tcW w:w="9645" w:type="dxa"/>
            <w:tcBorders/>
            <w:shd w:fill="FFFFFF" w:val="clear"/>
            <w:vAlign w:val="center"/>
          </w:tcPr>
          <w:p>
            <w:pPr>
              <w:pStyle w:val="TableContents"/>
              <w:bidi w:val="0"/>
              <w:spacing w:before="0" w:after="283"/>
              <w:jc w:val="both"/>
              <w:rPr/>
            </w:pPr>
            <w:hyperlink r:id="rId28">
              <w:r>
                <w:rPr>
                  <w:rStyle w:val="InternetLink"/>
                  <w:sz w:val="20"/>
                </w:rPr>
                <w:t>At the Market Offering Agreement, dated August 28, 2025, by and among the Company and Rodman &amp; Renshaw LLC and H.C. Wainwright &amp; Co., LLC (Incorporated by reference to Exhibit 10.1 in the Company’s Current Report on Form 8-K, filed with the SEC on August 28, 2025).</w:t>
              </w:r>
            </w:hyperlink>
          </w:p>
        </w:tc>
      </w:tr>
      <w:tr>
        <w:trPr/>
        <w:tc>
          <w:tcPr>
            <w:tcW w:w="500" w:type="dxa"/>
            <w:tcBorders/>
            <w:shd w:fill="CCEEFF" w:val="clear"/>
            <w:vAlign w:val="center"/>
          </w:tcPr>
          <w:p>
            <w:pPr>
              <w:pStyle w:val="TableContents"/>
              <w:bidi w:val="0"/>
              <w:spacing w:before="0" w:after="283"/>
              <w:jc w:val="left"/>
              <w:rPr>
                <w:sz w:val="20"/>
              </w:rPr>
            </w:pPr>
            <w:r>
              <w:rPr>
                <w:sz w:val="20"/>
              </w:rPr>
              <w:t>10.18</w:t>
            </w:r>
          </w:p>
        </w:tc>
        <w:tc>
          <w:tcPr>
            <w:tcW w:w="60" w:type="dxa"/>
            <w:tcBorders/>
            <w:shd w:fill="CCEEFF" w:val="clear"/>
            <w:vAlign w:val="center"/>
          </w:tcPr>
          <w:p>
            <w:pPr>
              <w:pStyle w:val="TableContents"/>
              <w:bidi w:val="0"/>
              <w:spacing w:before="0" w:after="283"/>
              <w:jc w:val="left"/>
              <w:rPr/>
            </w:pPr>
            <w:r>
              <w:rPr/>
              <w:t> </w:t>
            </w:r>
          </w:p>
        </w:tc>
        <w:tc>
          <w:tcPr>
            <w:tcW w:w="9645" w:type="dxa"/>
            <w:tcBorders/>
            <w:shd w:fill="CCEEFF" w:val="clear"/>
            <w:vAlign w:val="center"/>
          </w:tcPr>
          <w:p>
            <w:pPr>
              <w:pStyle w:val="TableContents"/>
              <w:bidi w:val="0"/>
              <w:spacing w:before="0" w:after="283"/>
              <w:jc w:val="both"/>
              <w:rPr/>
            </w:pPr>
            <w:hyperlink r:id="rId29">
              <w:r>
                <w:rPr>
                  <w:rStyle w:val="InternetLink"/>
                  <w:sz w:val="20"/>
                </w:rPr>
                <w:t>At the Market Offering Agreement, dated September 23, 2025, by and among the Company, Rodman &amp; Renshaw LLC and H.C. Wainwright &amp; Co., LLC (Incorporated by reference to Exhibit 10.1 in the Company’s Registration Statement on Form S-3ASR, filed with the SEC on September 24, 2025).</w:t>
              </w:r>
            </w:hyperlink>
          </w:p>
        </w:tc>
      </w:tr>
      <w:tr>
        <w:trPr/>
        <w:tc>
          <w:tcPr>
            <w:tcW w:w="500" w:type="dxa"/>
            <w:tcBorders/>
            <w:shd w:fill="FFFFFF" w:val="clear"/>
            <w:vAlign w:val="center"/>
          </w:tcPr>
          <w:p>
            <w:pPr>
              <w:pStyle w:val="TableContents"/>
              <w:bidi w:val="0"/>
              <w:spacing w:before="0" w:after="283"/>
              <w:jc w:val="left"/>
              <w:rPr>
                <w:sz w:val="20"/>
              </w:rPr>
            </w:pPr>
            <w:r>
              <w:rPr>
                <w:sz w:val="20"/>
              </w:rPr>
              <w:t>10.19</w:t>
            </w:r>
          </w:p>
        </w:tc>
        <w:tc>
          <w:tcPr>
            <w:tcW w:w="60" w:type="dxa"/>
            <w:tcBorders/>
            <w:shd w:fill="FFFFFF" w:val="clear"/>
            <w:vAlign w:val="center"/>
          </w:tcPr>
          <w:p>
            <w:pPr>
              <w:pStyle w:val="TableContents"/>
              <w:bidi w:val="0"/>
              <w:spacing w:before="0" w:after="283"/>
              <w:jc w:val="left"/>
              <w:rPr/>
            </w:pPr>
            <w:r>
              <w:rPr/>
              <w:t> </w:t>
            </w:r>
          </w:p>
        </w:tc>
        <w:tc>
          <w:tcPr>
            <w:tcW w:w="9645" w:type="dxa"/>
            <w:tcBorders/>
            <w:shd w:fill="FFFFFF" w:val="clear"/>
            <w:vAlign w:val="center"/>
          </w:tcPr>
          <w:p>
            <w:pPr>
              <w:pStyle w:val="TableContents"/>
              <w:bidi w:val="0"/>
              <w:spacing w:before="0" w:after="283"/>
              <w:jc w:val="both"/>
              <w:rPr/>
            </w:pPr>
            <w:hyperlink r:id="rId30">
              <w:r>
                <w:rPr>
                  <w:rStyle w:val="InternetLink"/>
                  <w:sz w:val="20"/>
                </w:rPr>
                <w:t>Form of Securities Purchase Agreement (Incorporated by reference to Exhibit 10.1 in the Company’s Current Report on Form 8-K, filed with the SEC on January 30, 2026).</w:t>
              </w:r>
            </w:hyperlink>
          </w:p>
        </w:tc>
      </w:tr>
      <w:tr>
        <w:trPr/>
        <w:tc>
          <w:tcPr>
            <w:tcW w:w="500" w:type="dxa"/>
            <w:tcBorders/>
            <w:shd w:fill="CCEEFF" w:val="clear"/>
            <w:vAlign w:val="center"/>
          </w:tcPr>
          <w:p>
            <w:pPr>
              <w:pStyle w:val="TableContents"/>
              <w:bidi w:val="0"/>
              <w:spacing w:before="0" w:after="283"/>
              <w:jc w:val="left"/>
              <w:rPr>
                <w:sz w:val="20"/>
              </w:rPr>
            </w:pPr>
            <w:r>
              <w:rPr>
                <w:sz w:val="20"/>
              </w:rPr>
              <w:t>10.20</w:t>
            </w:r>
          </w:p>
        </w:tc>
        <w:tc>
          <w:tcPr>
            <w:tcW w:w="60" w:type="dxa"/>
            <w:tcBorders/>
            <w:shd w:fill="CCEEFF" w:val="clear"/>
            <w:vAlign w:val="center"/>
          </w:tcPr>
          <w:p>
            <w:pPr>
              <w:pStyle w:val="TableContents"/>
              <w:bidi w:val="0"/>
              <w:spacing w:before="0" w:after="283"/>
              <w:jc w:val="left"/>
              <w:rPr/>
            </w:pPr>
            <w:r>
              <w:rPr/>
              <w:t> </w:t>
            </w:r>
          </w:p>
        </w:tc>
        <w:tc>
          <w:tcPr>
            <w:tcW w:w="9645" w:type="dxa"/>
            <w:tcBorders/>
            <w:shd w:fill="CCEEFF" w:val="clear"/>
            <w:vAlign w:val="center"/>
          </w:tcPr>
          <w:p>
            <w:pPr>
              <w:pStyle w:val="TableContents"/>
              <w:bidi w:val="0"/>
              <w:spacing w:before="0" w:after="283"/>
              <w:jc w:val="both"/>
              <w:rPr/>
            </w:pPr>
            <w:hyperlink r:id="rId31">
              <w:r>
                <w:rPr>
                  <w:rStyle w:val="InternetLink"/>
                  <w:sz w:val="20"/>
                </w:rPr>
                <w:t>Form of Registration Rights Agreement (Incorporated by reference to Exhibit 10.2 in the Company’s Current Report on Form 8-K, filed with the SEC on January 30, 2026).</w:t>
              </w:r>
            </w:hyperlink>
          </w:p>
        </w:tc>
      </w:tr>
      <w:tr>
        <w:trPr/>
        <w:tc>
          <w:tcPr>
            <w:tcW w:w="500" w:type="dxa"/>
            <w:tcBorders/>
            <w:shd w:fill="FFFFFF" w:val="clear"/>
            <w:vAlign w:val="center"/>
          </w:tcPr>
          <w:p>
            <w:pPr>
              <w:pStyle w:val="TableContents"/>
              <w:bidi w:val="0"/>
              <w:spacing w:before="0" w:after="283"/>
              <w:jc w:val="left"/>
              <w:rPr>
                <w:sz w:val="20"/>
              </w:rPr>
            </w:pPr>
            <w:r>
              <w:rPr>
                <w:sz w:val="20"/>
              </w:rPr>
              <w:t>21</w:t>
            </w:r>
          </w:p>
        </w:tc>
        <w:tc>
          <w:tcPr>
            <w:tcW w:w="60" w:type="dxa"/>
            <w:tcBorders/>
            <w:shd w:fill="FFFFFF" w:val="clear"/>
            <w:vAlign w:val="center"/>
          </w:tcPr>
          <w:p>
            <w:pPr>
              <w:pStyle w:val="TableContents"/>
              <w:bidi w:val="0"/>
              <w:spacing w:before="0" w:after="283"/>
              <w:jc w:val="left"/>
              <w:rPr/>
            </w:pPr>
            <w:r>
              <w:rPr/>
              <w:t> </w:t>
            </w:r>
          </w:p>
        </w:tc>
        <w:tc>
          <w:tcPr>
            <w:tcW w:w="9645" w:type="dxa"/>
            <w:tcBorders/>
            <w:shd w:fill="FFFFFF" w:val="clear"/>
            <w:vAlign w:val="center"/>
          </w:tcPr>
          <w:p>
            <w:pPr>
              <w:pStyle w:val="TableContents"/>
              <w:bidi w:val="0"/>
              <w:spacing w:before="0" w:after="283"/>
              <w:jc w:val="both"/>
              <w:rPr/>
            </w:pPr>
            <w:hyperlink r:id="rId32">
              <w:r>
                <w:rPr>
                  <w:rStyle w:val="InternetLink"/>
                  <w:sz w:val="20"/>
                </w:rPr>
                <w:t>Subsidiaries of the Company (Incorporated by reference to Exhibit 21 in the Company’s Annual Report on Form 10-K, filed with the SEC on January 20, 2026).</w:t>
              </w:r>
            </w:hyperlink>
          </w:p>
        </w:tc>
      </w:tr>
      <w:tr>
        <w:trPr/>
        <w:tc>
          <w:tcPr>
            <w:tcW w:w="500" w:type="dxa"/>
            <w:tcBorders/>
            <w:shd w:fill="CCEEFF" w:val="clear"/>
            <w:vAlign w:val="center"/>
          </w:tcPr>
          <w:p>
            <w:pPr>
              <w:pStyle w:val="TableContents"/>
              <w:bidi w:val="0"/>
              <w:spacing w:before="0" w:after="283"/>
              <w:jc w:val="left"/>
              <w:rPr>
                <w:sz w:val="20"/>
              </w:rPr>
            </w:pPr>
            <w:r>
              <w:rPr>
                <w:sz w:val="20"/>
              </w:rPr>
              <w:t>23.1*</w:t>
            </w:r>
          </w:p>
        </w:tc>
        <w:tc>
          <w:tcPr>
            <w:tcW w:w="60" w:type="dxa"/>
            <w:tcBorders/>
            <w:shd w:fill="CCEEFF" w:val="clear"/>
            <w:vAlign w:val="center"/>
          </w:tcPr>
          <w:p>
            <w:pPr>
              <w:pStyle w:val="TableContents"/>
              <w:bidi w:val="0"/>
              <w:spacing w:before="0" w:after="283"/>
              <w:jc w:val="left"/>
              <w:rPr/>
            </w:pPr>
            <w:r>
              <w:rPr/>
              <w:t> </w:t>
            </w:r>
          </w:p>
        </w:tc>
        <w:tc>
          <w:tcPr>
            <w:tcW w:w="9645" w:type="dxa"/>
            <w:tcBorders/>
            <w:shd w:fill="CCEEFF" w:val="clear"/>
            <w:vAlign w:val="center"/>
          </w:tcPr>
          <w:p>
            <w:pPr>
              <w:pStyle w:val="TableContents"/>
              <w:bidi w:val="0"/>
              <w:spacing w:before="0" w:after="283"/>
              <w:jc w:val="both"/>
              <w:rPr/>
            </w:pPr>
            <w:hyperlink w:anchor="ea030488101ex23-1.htm">
              <w:r>
                <w:rPr>
                  <w:rStyle w:val="InternetLink"/>
                  <w:sz w:val="20"/>
                </w:rPr>
                <w:t>Consent of Bush &amp; Associates CPA, Independent Registered Public Accounting Firm</w:t>
              </w:r>
            </w:hyperlink>
          </w:p>
        </w:tc>
      </w:tr>
      <w:tr>
        <w:trPr/>
        <w:tc>
          <w:tcPr>
            <w:tcW w:w="500" w:type="dxa"/>
            <w:tcBorders/>
            <w:shd w:fill="FFFFFF" w:val="clear"/>
            <w:vAlign w:val="center"/>
          </w:tcPr>
          <w:p>
            <w:pPr>
              <w:pStyle w:val="TableContents"/>
              <w:bidi w:val="0"/>
              <w:spacing w:before="0" w:after="283"/>
              <w:jc w:val="left"/>
              <w:rPr>
                <w:sz w:val="20"/>
              </w:rPr>
            </w:pPr>
            <w:r>
              <w:rPr>
                <w:sz w:val="20"/>
              </w:rPr>
              <w:t>23.2</w:t>
            </w:r>
          </w:p>
        </w:tc>
        <w:tc>
          <w:tcPr>
            <w:tcW w:w="60" w:type="dxa"/>
            <w:tcBorders/>
            <w:shd w:fill="FFFFFF" w:val="clear"/>
            <w:vAlign w:val="center"/>
          </w:tcPr>
          <w:p>
            <w:pPr>
              <w:pStyle w:val="TableContents"/>
              <w:bidi w:val="0"/>
              <w:spacing w:before="0" w:after="283"/>
              <w:jc w:val="left"/>
              <w:rPr/>
            </w:pPr>
            <w:r>
              <w:rPr/>
              <w:t> </w:t>
            </w:r>
          </w:p>
        </w:tc>
        <w:tc>
          <w:tcPr>
            <w:tcW w:w="9645" w:type="dxa"/>
            <w:tcBorders/>
            <w:shd w:fill="FFFFFF" w:val="clear"/>
            <w:vAlign w:val="center"/>
          </w:tcPr>
          <w:p>
            <w:pPr>
              <w:pStyle w:val="TableContents"/>
              <w:bidi w:val="0"/>
              <w:spacing w:before="0" w:after="283"/>
              <w:jc w:val="both"/>
              <w:rPr/>
            </w:pPr>
            <w:hyperlink r:id="rId33">
              <w:r>
                <w:rPr>
                  <w:rStyle w:val="InternetLink"/>
                  <w:sz w:val="20"/>
                </w:rPr>
                <w:t>Consent of Fennemore Craig, P.C. (included as part of Exhibit 5.1 hereto).</w:t>
              </w:r>
            </w:hyperlink>
          </w:p>
        </w:tc>
      </w:tr>
      <w:tr>
        <w:trPr/>
        <w:tc>
          <w:tcPr>
            <w:tcW w:w="500" w:type="dxa"/>
            <w:tcBorders/>
            <w:shd w:fill="CCEEFF" w:val="clear"/>
            <w:vAlign w:val="center"/>
          </w:tcPr>
          <w:p>
            <w:pPr>
              <w:pStyle w:val="TableContents"/>
              <w:bidi w:val="0"/>
              <w:spacing w:before="0" w:after="283"/>
              <w:jc w:val="left"/>
              <w:rPr>
                <w:sz w:val="20"/>
              </w:rPr>
            </w:pPr>
            <w:r>
              <w:rPr>
                <w:sz w:val="20"/>
              </w:rPr>
              <w:t>24.1</w:t>
            </w:r>
          </w:p>
        </w:tc>
        <w:tc>
          <w:tcPr>
            <w:tcW w:w="60" w:type="dxa"/>
            <w:tcBorders/>
            <w:shd w:fill="CCEEFF" w:val="clear"/>
            <w:vAlign w:val="center"/>
          </w:tcPr>
          <w:p>
            <w:pPr>
              <w:pStyle w:val="TableContents"/>
              <w:bidi w:val="0"/>
              <w:spacing w:before="0" w:after="283"/>
              <w:jc w:val="left"/>
              <w:rPr/>
            </w:pPr>
            <w:r>
              <w:rPr/>
              <w:t> </w:t>
            </w:r>
          </w:p>
        </w:tc>
        <w:tc>
          <w:tcPr>
            <w:tcW w:w="9645" w:type="dxa"/>
            <w:tcBorders/>
            <w:shd w:fill="CCEEFF" w:val="clear"/>
            <w:vAlign w:val="center"/>
          </w:tcPr>
          <w:p>
            <w:pPr>
              <w:pStyle w:val="TableContents"/>
              <w:bidi w:val="0"/>
              <w:spacing w:before="0" w:after="283"/>
              <w:jc w:val="both"/>
              <w:rPr/>
            </w:pPr>
            <w:r>
              <w:fldChar w:fldCharType="begin"/>
            </w:r>
            <w:r>
              <w:rPr>
                <w:rStyle w:val="InternetLink"/>
                <w:sz w:val="20"/>
              </w:rPr>
              <w:instrText xml:space="preserve"> HYPERLINK "https://www.sec.gov/Archives/edgar/data/1963685/000121390026017558/ea0277049-01.htm" \l "T301"</w:instrText>
            </w:r>
            <w:r>
              <w:rPr>
                <w:rStyle w:val="InternetLink"/>
                <w:sz w:val="20"/>
              </w:rPr>
              <w:fldChar w:fldCharType="separate"/>
            </w:r>
            <w:r>
              <w:rPr>
                <w:rStyle w:val="InternetLink"/>
                <w:sz w:val="20"/>
              </w:rPr>
              <w:t>Power of Attorney (Incorporated by reference to the signature page of the Company’s Registration Statement on Form S-1 (File No. 333-293535), filed with the SEC on February 18, 2026).</w:t>
            </w:r>
            <w:r>
              <w:rPr>
                <w:rStyle w:val="InternetLink"/>
                <w:sz w:val="20"/>
              </w:rPr>
              <w:fldChar w:fldCharType="end"/>
            </w:r>
          </w:p>
        </w:tc>
      </w:tr>
      <w:tr>
        <w:trPr/>
        <w:tc>
          <w:tcPr>
            <w:tcW w:w="500" w:type="dxa"/>
            <w:tcBorders/>
            <w:shd w:fill="FFFFFF" w:val="clear"/>
            <w:vAlign w:val="center"/>
          </w:tcPr>
          <w:p>
            <w:pPr>
              <w:pStyle w:val="TableContents"/>
              <w:bidi w:val="0"/>
              <w:spacing w:before="0" w:after="283"/>
              <w:jc w:val="left"/>
              <w:rPr>
                <w:sz w:val="20"/>
              </w:rPr>
            </w:pPr>
            <w:r>
              <w:rPr>
                <w:sz w:val="20"/>
              </w:rPr>
              <w:t>107</w:t>
            </w:r>
          </w:p>
        </w:tc>
        <w:tc>
          <w:tcPr>
            <w:tcW w:w="60" w:type="dxa"/>
            <w:tcBorders/>
            <w:shd w:fill="FFFFFF" w:val="clear"/>
            <w:vAlign w:val="center"/>
          </w:tcPr>
          <w:p>
            <w:pPr>
              <w:pStyle w:val="TableContents"/>
              <w:bidi w:val="0"/>
              <w:spacing w:before="0" w:after="283"/>
              <w:jc w:val="left"/>
              <w:rPr/>
            </w:pPr>
            <w:r>
              <w:rPr/>
              <w:t> </w:t>
            </w:r>
          </w:p>
        </w:tc>
        <w:tc>
          <w:tcPr>
            <w:tcW w:w="9645" w:type="dxa"/>
            <w:tcBorders/>
            <w:shd w:fill="FFFFFF" w:val="clear"/>
            <w:vAlign w:val="center"/>
          </w:tcPr>
          <w:p>
            <w:pPr>
              <w:pStyle w:val="TableContents"/>
              <w:bidi w:val="0"/>
              <w:spacing w:before="0" w:after="283"/>
              <w:jc w:val="both"/>
              <w:rPr/>
            </w:pPr>
            <w:hyperlink r:id="rId34">
              <w:r>
                <w:rPr>
                  <w:rStyle w:val="InternetLink"/>
                  <w:sz w:val="20"/>
                </w:rPr>
                <w:t>Filing Fee Table (Incorporated by reference to Exhibit 107 in the Company’s Registration Statement on Form S-1 (File No. 333-293535), filed with the SEC on February 18, 2026).</w:t>
              </w:r>
            </w:hyperlink>
          </w:p>
        </w:tc>
      </w:tr>
    </w:tbl>
    <w:p>
      <w:pPr>
        <w:pStyle w:val="TextBody"/>
        <w:bidi w:val="0"/>
        <w:spacing w:before="0" w:after="0"/>
        <w:ind w:left="0" w:right="0" w:hanging="10"/>
        <w:jc w:val="both"/>
        <w:rPr>
          <w:caps w:val="false"/>
          <w:smallCaps w:val="false"/>
        </w:rPr>
      </w:pPr>
      <w:r>
        <w:rPr>
          <w:caps w:val="false"/>
          <w:smallCaps w:val="false"/>
        </w:rPr>
        <w:t> </w:t>
      </w:r>
    </w:p>
    <w:tbl>
      <w:tblPr>
        <w:tblW w:w="1615" w:type="dxa"/>
        <w:jc w:val="left"/>
        <w:tblInd w:w="0" w:type="dxa"/>
        <w:tblLayout w:type="fixed"/>
        <w:tblCellMar>
          <w:top w:w="0" w:type="dxa"/>
          <w:left w:w="0" w:type="dxa"/>
          <w:bottom w:w="0" w:type="dxa"/>
          <w:right w:w="0" w:type="dxa"/>
        </w:tblCellMar>
      </w:tblPr>
      <w:tblGrid>
        <w:gridCol w:w="155"/>
        <w:gridCol w:w="1460"/>
      </w:tblGrid>
      <w:tr>
        <w:trPr/>
        <w:tc>
          <w:tcPr>
            <w:tcW w:w="155" w:type="dxa"/>
            <w:tcBorders/>
            <w:vAlign w:val="center"/>
          </w:tcPr>
          <w:p>
            <w:pPr>
              <w:pStyle w:val="TableContents"/>
              <w:bidi w:val="0"/>
              <w:spacing w:before="0" w:after="283"/>
              <w:jc w:val="left"/>
              <w:rPr/>
            </w:pPr>
            <w:r>
              <w:rPr/>
              <w:t>*</w:t>
            </w:r>
          </w:p>
        </w:tc>
        <w:tc>
          <w:tcPr>
            <w:tcW w:w="1460" w:type="dxa"/>
            <w:tcBorders/>
            <w:vAlign w:val="center"/>
          </w:tcPr>
          <w:p>
            <w:pPr>
              <w:pStyle w:val="TableContents"/>
              <w:bidi w:val="0"/>
              <w:spacing w:before="0" w:after="283"/>
              <w:jc w:val="both"/>
              <w:rPr/>
            </w:pPr>
            <w:r>
              <w:rPr/>
              <w:t>Filed herewith.</w:t>
            </w:r>
          </w:p>
        </w:tc>
      </w:tr>
    </w:tbl>
    <w:tbl>
      <w:tblPr>
        <w:tblW w:w="5185" w:type="dxa"/>
        <w:jc w:val="left"/>
        <w:tblInd w:w="0" w:type="dxa"/>
        <w:tblLayout w:type="fixed"/>
        <w:tblCellMar>
          <w:top w:w="0" w:type="dxa"/>
          <w:left w:w="0" w:type="dxa"/>
          <w:bottom w:w="0" w:type="dxa"/>
          <w:right w:w="0" w:type="dxa"/>
        </w:tblCellMar>
      </w:tblPr>
      <w:tblGrid>
        <w:gridCol w:w="155"/>
        <w:gridCol w:w="5030"/>
      </w:tblGrid>
      <w:tr>
        <w:trPr/>
        <w:tc>
          <w:tcPr>
            <w:tcW w:w="155" w:type="dxa"/>
            <w:tcBorders/>
            <w:vAlign w:val="center"/>
          </w:tcPr>
          <w:p>
            <w:pPr>
              <w:pStyle w:val="TableContents"/>
              <w:bidi w:val="0"/>
              <w:spacing w:before="0" w:after="283"/>
              <w:jc w:val="left"/>
              <w:rPr/>
            </w:pPr>
            <w:r>
              <w:rPr/>
              <w:t>†</w:t>
            </w:r>
          </w:p>
        </w:tc>
        <w:tc>
          <w:tcPr>
            <w:tcW w:w="5030" w:type="dxa"/>
            <w:tcBorders/>
            <w:vAlign w:val="center"/>
          </w:tcPr>
          <w:p>
            <w:pPr>
              <w:pStyle w:val="TableContents"/>
              <w:bidi w:val="0"/>
              <w:spacing w:before="0" w:after="283"/>
              <w:jc w:val="both"/>
              <w:rPr/>
            </w:pPr>
            <w:r>
              <w:rPr/>
              <w:t>Denotes management compensation plan or contract.</w:t>
            </w:r>
          </w:p>
        </w:tc>
      </w:tr>
    </w:tbl>
    <w:tbl>
      <w:tblPr>
        <w:tblW w:w="10205" w:type="dxa"/>
        <w:jc w:val="left"/>
        <w:tblInd w:w="0" w:type="dxa"/>
        <w:tblLayout w:type="fixed"/>
        <w:tblCellMar>
          <w:top w:w="0" w:type="dxa"/>
          <w:left w:w="0" w:type="dxa"/>
          <w:bottom w:w="0" w:type="dxa"/>
          <w:right w:w="0" w:type="dxa"/>
        </w:tblCellMar>
      </w:tblPr>
      <w:tblGrid>
        <w:gridCol w:w="155"/>
        <w:gridCol w:w="10050"/>
      </w:tblGrid>
      <w:tr>
        <w:trPr/>
        <w:tc>
          <w:tcPr>
            <w:tcW w:w="155" w:type="dxa"/>
            <w:tcBorders/>
            <w:vAlign w:val="center"/>
          </w:tcPr>
          <w:p>
            <w:pPr>
              <w:pStyle w:val="TableContents"/>
              <w:bidi w:val="0"/>
              <w:spacing w:before="0" w:after="283"/>
              <w:jc w:val="left"/>
              <w:rPr/>
            </w:pPr>
            <w:r>
              <w:rPr/>
              <w:t>#</w:t>
            </w:r>
          </w:p>
        </w:tc>
        <w:tc>
          <w:tcPr>
            <w:tcW w:w="10050" w:type="dxa"/>
            <w:tcBorders/>
            <w:vAlign w:val="center"/>
          </w:tcPr>
          <w:p>
            <w:pPr>
              <w:pStyle w:val="TableContents"/>
              <w:bidi w:val="0"/>
              <w:spacing w:before="0" w:after="283"/>
              <w:jc w:val="both"/>
              <w:rPr/>
            </w:pPr>
            <w:r>
              <w:rPr/>
              <w:t>Certain portions of this exhibit have been omitted because the omitted information is (i) not material and (ii) would likely cause competitive harm to the Company if publicly disclosed.</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II-2</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bookmarkStart w:id="2" w:name="poa_001"/>
      <w:bookmarkEnd w:id="2"/>
      <w:r>
        <w:rPr>
          <w:rFonts w:ascii="Times New Roman;Times;Serif" w:hAnsi="Times New Roman;Times;Serif"/>
          <w:b/>
          <w:i w:val="false"/>
          <w:caps w:val="false"/>
          <w:smallCaps w:val="false"/>
          <w:sz w:val="20"/>
        </w:rPr>
        <w:t>SIGNATURES</w:t>
      </w:r>
    </w:p>
    <w:p>
      <w:pPr>
        <w:pStyle w:val="TextBody"/>
        <w:shd w:fill="FFFFFF" w:val="clear"/>
        <w:bidi w:val="0"/>
        <w:spacing w:before="0" w:after="0"/>
        <w:ind w:left="0" w:right="0" w:firstLine="48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Act, the registrant has duly caused this registration statement to be signed on its behalf by the undersigned, thereunto duly authorized on September 9, 2026.</w:t>
      </w:r>
    </w:p>
    <w:p>
      <w:pPr>
        <w:pStyle w:val="TextBody"/>
        <w:shd w:fill="FFFFFF" w:val="clear"/>
        <w:bidi w:val="0"/>
        <w:spacing w:before="0" w:after="0"/>
        <w:ind w:left="0" w:right="0" w:firstLine="360"/>
        <w:jc w:val="both"/>
        <w:rPr>
          <w:caps w:val="false"/>
          <w:smallCaps w:val="false"/>
        </w:rPr>
      </w:pPr>
      <w:r>
        <w:rPr>
          <w:caps w:val="false"/>
          <w:smallCaps w:val="false"/>
        </w:rPr>
        <w:t> </w:t>
      </w:r>
    </w:p>
    <w:tbl>
      <w:tblPr>
        <w:tblW w:w="2659" w:type="dxa"/>
        <w:jc w:val="left"/>
        <w:tblInd w:w="0" w:type="dxa"/>
        <w:tblLayout w:type="fixed"/>
        <w:tblCellMar>
          <w:top w:w="0" w:type="dxa"/>
          <w:left w:w="0" w:type="dxa"/>
          <w:bottom w:w="0" w:type="dxa"/>
          <w:right w:w="0" w:type="dxa"/>
        </w:tblCellMar>
      </w:tblPr>
      <w:tblGrid>
        <w:gridCol w:w="75"/>
        <w:gridCol w:w="363"/>
        <w:gridCol w:w="2221"/>
      </w:tblGrid>
      <w:tr>
        <w:trPr/>
        <w:tc>
          <w:tcPr>
            <w:tcW w:w="75" w:type="dxa"/>
            <w:tcBorders/>
            <w:vAlign w:val="center"/>
          </w:tcPr>
          <w:p>
            <w:pPr>
              <w:pStyle w:val="TableContents"/>
              <w:bidi w:val="0"/>
              <w:spacing w:before="0" w:after="283"/>
              <w:jc w:val="left"/>
              <w:rPr/>
            </w:pPr>
            <w:r>
              <w:rPr/>
              <w:t> </w:t>
            </w:r>
          </w:p>
        </w:tc>
        <w:tc>
          <w:tcPr>
            <w:tcW w:w="2584" w:type="dxa"/>
            <w:gridSpan w:val="2"/>
            <w:tcBorders/>
            <w:vAlign w:val="center"/>
          </w:tcPr>
          <w:p>
            <w:pPr>
              <w:pStyle w:val="TableContents"/>
              <w:bidi w:val="0"/>
              <w:spacing w:before="0" w:after="283"/>
              <w:jc w:val="left"/>
              <w:rPr>
                <w:b/>
                <w:sz w:val="20"/>
              </w:rPr>
            </w:pPr>
            <w:r>
              <w:rPr>
                <w:b/>
                <w:sz w:val="20"/>
              </w:rPr>
              <w:t>RICHTECH ROBOTICS INC.</w:t>
            </w:r>
          </w:p>
        </w:tc>
      </w:tr>
      <w:tr>
        <w:trPr/>
        <w:tc>
          <w:tcPr>
            <w:tcW w:w="75" w:type="dxa"/>
            <w:tcBorders/>
            <w:vAlign w:val="center"/>
          </w:tcPr>
          <w:p>
            <w:pPr>
              <w:pStyle w:val="TableContents"/>
              <w:bidi w:val="0"/>
              <w:spacing w:before="0" w:after="283"/>
              <w:jc w:val="left"/>
              <w:rPr/>
            </w:pPr>
            <w:r>
              <w:rPr/>
              <w:t> </w:t>
            </w:r>
          </w:p>
        </w:tc>
        <w:tc>
          <w:tcPr>
            <w:tcW w:w="2584"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63" w:type="dxa"/>
            <w:tcBorders/>
            <w:vAlign w:val="center"/>
          </w:tcPr>
          <w:p>
            <w:pPr>
              <w:pStyle w:val="TableContents"/>
              <w:bidi w:val="0"/>
              <w:spacing w:before="0" w:after="283"/>
              <w:jc w:val="left"/>
              <w:rPr>
                <w:sz w:val="20"/>
              </w:rPr>
            </w:pPr>
            <w:r>
              <w:rPr>
                <w:sz w:val="20"/>
              </w:rPr>
              <w:t>By:</w:t>
            </w:r>
          </w:p>
        </w:tc>
        <w:tc>
          <w:tcPr>
            <w:tcW w:w="2221" w:type="dxa"/>
            <w:tcBorders>
              <w:bottom w:val="single" w:sz="12" w:space="0" w:color="000000"/>
            </w:tcBorders>
            <w:tcMar>
              <w:bottom w:w="28" w:type="dxa"/>
            </w:tcMar>
            <w:vAlign w:val="center"/>
          </w:tcPr>
          <w:p>
            <w:pPr>
              <w:pStyle w:val="TableContents"/>
              <w:bidi w:val="0"/>
              <w:spacing w:before="0" w:after="283"/>
              <w:jc w:val="left"/>
              <w:rPr>
                <w:i/>
                <w:sz w:val="20"/>
              </w:rPr>
            </w:pPr>
            <w:r>
              <w:rPr>
                <w:i/>
                <w:sz w:val="20"/>
              </w:rPr>
              <w:t>/s/ Zhenqwu Huang</w:t>
            </w:r>
          </w:p>
        </w:tc>
      </w:tr>
      <w:tr>
        <w:trPr/>
        <w:tc>
          <w:tcPr>
            <w:tcW w:w="75" w:type="dxa"/>
            <w:tcBorders/>
            <w:vAlign w:val="center"/>
          </w:tcPr>
          <w:p>
            <w:pPr>
              <w:pStyle w:val="TableContents"/>
              <w:bidi w:val="0"/>
              <w:spacing w:before="0" w:after="283"/>
              <w:jc w:val="left"/>
              <w:rPr/>
            </w:pPr>
            <w:r>
              <w:rPr/>
              <w:t> </w:t>
            </w:r>
          </w:p>
        </w:tc>
        <w:tc>
          <w:tcPr>
            <w:tcW w:w="363" w:type="dxa"/>
            <w:tcBorders/>
            <w:vAlign w:val="center"/>
          </w:tcPr>
          <w:p>
            <w:pPr>
              <w:pStyle w:val="TableContents"/>
              <w:bidi w:val="0"/>
              <w:spacing w:before="0" w:after="283"/>
              <w:jc w:val="left"/>
              <w:rPr/>
            </w:pPr>
            <w:r>
              <w:rPr/>
              <w:t> </w:t>
            </w:r>
          </w:p>
        </w:tc>
        <w:tc>
          <w:tcPr>
            <w:tcW w:w="2221" w:type="dxa"/>
            <w:tcBorders/>
            <w:vAlign w:val="center"/>
          </w:tcPr>
          <w:p>
            <w:pPr>
              <w:pStyle w:val="TableContents"/>
              <w:bidi w:val="0"/>
              <w:spacing w:before="0" w:after="283"/>
              <w:jc w:val="left"/>
              <w:rPr>
                <w:sz w:val="20"/>
              </w:rPr>
            </w:pPr>
            <w:r>
              <w:rPr>
                <w:sz w:val="20"/>
              </w:rPr>
              <w:t>Zhenwu Huang</w:t>
            </w:r>
          </w:p>
        </w:tc>
      </w:tr>
      <w:tr>
        <w:trPr/>
        <w:tc>
          <w:tcPr>
            <w:tcW w:w="75" w:type="dxa"/>
            <w:tcBorders/>
            <w:vAlign w:val="center"/>
          </w:tcPr>
          <w:p>
            <w:pPr>
              <w:pStyle w:val="TableContents"/>
              <w:bidi w:val="0"/>
              <w:spacing w:before="0" w:after="283"/>
              <w:jc w:val="left"/>
              <w:rPr/>
            </w:pPr>
            <w:r>
              <w:rPr/>
              <w:t> </w:t>
            </w:r>
          </w:p>
        </w:tc>
        <w:tc>
          <w:tcPr>
            <w:tcW w:w="363" w:type="dxa"/>
            <w:tcBorders/>
            <w:vAlign w:val="center"/>
          </w:tcPr>
          <w:p>
            <w:pPr>
              <w:pStyle w:val="TableContents"/>
              <w:bidi w:val="0"/>
              <w:spacing w:before="0" w:after="283"/>
              <w:jc w:val="left"/>
              <w:rPr/>
            </w:pPr>
            <w:r>
              <w:rPr/>
              <w:t> </w:t>
            </w:r>
          </w:p>
        </w:tc>
        <w:tc>
          <w:tcPr>
            <w:tcW w:w="2221" w:type="dxa"/>
            <w:tcBorders/>
            <w:vAlign w:val="center"/>
          </w:tcPr>
          <w:p>
            <w:pPr>
              <w:pStyle w:val="TableContents"/>
              <w:bidi w:val="0"/>
              <w:spacing w:before="0" w:after="283"/>
              <w:jc w:val="left"/>
              <w:rPr>
                <w:sz w:val="20"/>
              </w:rPr>
            </w:pPr>
            <w:r>
              <w:rPr>
                <w:sz w:val="20"/>
              </w:rPr>
              <w:t>Chief Executive Officer</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Act of 1933, as amended, this Registration Statement has been signed by the following persons in the capacities and on the dates indicated.</w:t>
      </w:r>
    </w:p>
    <w:p>
      <w:pPr>
        <w:pStyle w:val="TextBody"/>
        <w:shd w:fill="FFFFFF" w:val="clear"/>
        <w:bidi w:val="0"/>
        <w:spacing w:before="0" w:after="0"/>
        <w:ind w:left="0" w:right="0" w:firstLine="480"/>
        <w:jc w:val="both"/>
        <w:rPr>
          <w:caps w:val="false"/>
          <w:smallCaps w:val="false"/>
        </w:rPr>
      </w:pPr>
      <w:r>
        <w:rPr>
          <w:caps w:val="false"/>
          <w:smallCaps w:val="false"/>
        </w:rPr>
        <w:t> </w:t>
      </w:r>
    </w:p>
    <w:tbl>
      <w:tblPr>
        <w:tblW w:w="7230" w:type="dxa"/>
        <w:jc w:val="left"/>
        <w:tblInd w:w="0" w:type="dxa"/>
        <w:tblLayout w:type="fixed"/>
        <w:tblCellMar>
          <w:top w:w="0" w:type="dxa"/>
          <w:left w:w="0" w:type="dxa"/>
          <w:bottom w:w="28" w:type="dxa"/>
          <w:right w:w="0" w:type="dxa"/>
        </w:tblCellMar>
      </w:tblPr>
      <w:tblGrid>
        <w:gridCol w:w="1910"/>
        <w:gridCol w:w="60"/>
        <w:gridCol w:w="3650"/>
        <w:gridCol w:w="60"/>
        <w:gridCol w:w="1550"/>
      </w:tblGrid>
      <w:tr>
        <w:trPr/>
        <w:tc>
          <w:tcPr>
            <w:tcW w:w="1910" w:type="dxa"/>
            <w:tcBorders>
              <w:bottom w:val="single" w:sz="12" w:space="0" w:color="000000"/>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Signature</w:t>
            </w:r>
          </w:p>
        </w:tc>
        <w:tc>
          <w:tcPr>
            <w:tcW w:w="60" w:type="dxa"/>
            <w:tcBorders/>
            <w:tcMar>
              <w:bottom w:w="0" w:type="dxa"/>
            </w:tcMar>
            <w:vAlign w:val="center"/>
          </w:tcPr>
          <w:p>
            <w:pPr>
              <w:pStyle w:val="TableContents"/>
              <w:bidi w:val="0"/>
              <w:spacing w:before="0" w:after="283"/>
              <w:jc w:val="left"/>
              <w:rPr/>
            </w:pPr>
            <w:r>
              <w:rPr/>
              <w:t> </w:t>
            </w:r>
          </w:p>
        </w:tc>
        <w:tc>
          <w:tcPr>
            <w:tcW w:w="3650"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Position</w:t>
            </w:r>
          </w:p>
        </w:tc>
        <w:tc>
          <w:tcPr>
            <w:tcW w:w="60" w:type="dxa"/>
            <w:tcBorders/>
            <w:tcMar>
              <w:bottom w:w="0" w:type="dxa"/>
            </w:tcMar>
            <w:vAlign w:val="center"/>
          </w:tcPr>
          <w:p>
            <w:pPr>
              <w:pStyle w:val="TableContents"/>
              <w:bidi w:val="0"/>
              <w:spacing w:before="0" w:after="283"/>
              <w:jc w:val="left"/>
              <w:rPr/>
            </w:pPr>
            <w:r>
              <w:rPr/>
              <w:t> </w:t>
            </w:r>
          </w:p>
        </w:tc>
        <w:tc>
          <w:tcPr>
            <w:tcW w:w="1550"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Date</w:t>
            </w:r>
          </w:p>
        </w:tc>
      </w:tr>
      <w:tr>
        <w:trPr/>
        <w:tc>
          <w:tcPr>
            <w:tcW w:w="191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3650" w:type="dxa"/>
            <w:tcBorders/>
            <w:tcMar>
              <w:bottom w:w="0" w:type="dxa"/>
            </w:tcMar>
            <w:vAlign w:val="center"/>
          </w:tcPr>
          <w:p>
            <w:pPr>
              <w:pStyle w:val="TableContents"/>
              <w:bidi w:val="0"/>
              <w:spacing w:before="0" w:after="283"/>
              <w:jc w:val="both"/>
              <w:rPr/>
            </w:pPr>
            <w:r>
              <w:rPr/>
              <w:t> </w:t>
            </w:r>
          </w:p>
        </w:tc>
        <w:tc>
          <w:tcPr>
            <w:tcW w:w="60" w:type="dxa"/>
            <w:tcBorders/>
            <w:tcMar>
              <w:bottom w:w="0" w:type="dxa"/>
            </w:tcMar>
            <w:vAlign w:val="center"/>
          </w:tcPr>
          <w:p>
            <w:pPr>
              <w:pStyle w:val="TableContents"/>
              <w:bidi w:val="0"/>
              <w:spacing w:before="0" w:after="283"/>
              <w:jc w:val="left"/>
              <w:rPr/>
            </w:pPr>
            <w:r>
              <w:rPr/>
              <w:t> </w:t>
            </w:r>
          </w:p>
        </w:tc>
        <w:tc>
          <w:tcPr>
            <w:tcW w:w="1550" w:type="dxa"/>
            <w:tcBorders/>
            <w:tcMar>
              <w:bottom w:w="0" w:type="dxa"/>
            </w:tcMar>
            <w:vAlign w:val="center"/>
          </w:tcPr>
          <w:p>
            <w:pPr>
              <w:pStyle w:val="TableContents"/>
              <w:bidi w:val="0"/>
              <w:spacing w:before="0" w:after="283"/>
              <w:jc w:val="center"/>
              <w:rPr/>
            </w:pPr>
            <w:r>
              <w:rPr/>
              <w:t> </w:t>
            </w:r>
          </w:p>
        </w:tc>
      </w:tr>
      <w:tr>
        <w:trPr/>
        <w:tc>
          <w:tcPr>
            <w:tcW w:w="1910" w:type="dxa"/>
            <w:tcBorders>
              <w:bottom w:val="single" w:sz="12" w:space="0" w:color="000000"/>
            </w:tcBorders>
            <w:vAlign w:val="center"/>
          </w:tcPr>
          <w:p>
            <w:pPr>
              <w:pStyle w:val="TableContents"/>
              <w:bidi w:val="0"/>
              <w:spacing w:before="0" w:after="283"/>
              <w:jc w:val="left"/>
              <w:rPr>
                <w:i/>
              </w:rPr>
            </w:pPr>
            <w:r>
              <w:rPr>
                <w:i/>
              </w:rPr>
              <w:t>/s/ Zhenqwu Huang</w:t>
            </w:r>
          </w:p>
        </w:tc>
        <w:tc>
          <w:tcPr>
            <w:tcW w:w="60" w:type="dxa"/>
            <w:tcBorders/>
            <w:tcMar>
              <w:bottom w:w="0" w:type="dxa"/>
            </w:tcMar>
            <w:vAlign w:val="center"/>
          </w:tcPr>
          <w:p>
            <w:pPr>
              <w:pStyle w:val="TableContents"/>
              <w:bidi w:val="0"/>
              <w:spacing w:before="0" w:after="283"/>
              <w:jc w:val="left"/>
              <w:rPr/>
            </w:pPr>
            <w:r>
              <w:rPr/>
              <w:t> </w:t>
            </w:r>
          </w:p>
        </w:tc>
        <w:tc>
          <w:tcPr>
            <w:tcW w:w="3650" w:type="dxa"/>
            <w:tcBorders/>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Chief Executive Officer and Director</w:t>
            </w:r>
          </w:p>
        </w:tc>
        <w:tc>
          <w:tcPr>
            <w:tcW w:w="60" w:type="dxa"/>
            <w:tcBorders/>
            <w:tcMar>
              <w:bottom w:w="0" w:type="dxa"/>
            </w:tcMar>
            <w:vAlign w:val="center"/>
          </w:tcPr>
          <w:p>
            <w:pPr>
              <w:pStyle w:val="TableContents"/>
              <w:bidi w:val="0"/>
              <w:spacing w:before="0" w:after="283"/>
              <w:jc w:val="left"/>
              <w:rPr/>
            </w:pPr>
            <w:r>
              <w:rPr/>
              <w:t> </w:t>
            </w:r>
          </w:p>
        </w:tc>
        <w:tc>
          <w:tcPr>
            <w:tcW w:w="1550"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September 9, 2026</w:t>
            </w:r>
          </w:p>
        </w:tc>
      </w:tr>
      <w:tr>
        <w:trPr/>
        <w:tc>
          <w:tcPr>
            <w:tcW w:w="1910" w:type="dxa"/>
            <w:tcBorders/>
            <w:tcMar>
              <w:bottom w:w="0" w:type="dxa"/>
            </w:tcMar>
            <w:vAlign w:val="center"/>
          </w:tcPr>
          <w:p>
            <w:pPr>
              <w:pStyle w:val="TableContents"/>
              <w:bidi w:val="0"/>
              <w:spacing w:before="0" w:after="283"/>
              <w:jc w:val="left"/>
              <w:rPr/>
            </w:pPr>
            <w:r>
              <w:rPr/>
              <w:t>Zhenqwu Huang</w:t>
            </w:r>
          </w:p>
        </w:tc>
        <w:tc>
          <w:tcPr>
            <w:tcW w:w="60" w:type="dxa"/>
            <w:tcBorders/>
            <w:tcMar>
              <w:bottom w:w="0" w:type="dxa"/>
            </w:tcMar>
            <w:vAlign w:val="center"/>
          </w:tcPr>
          <w:p>
            <w:pPr>
              <w:pStyle w:val="TableContents"/>
              <w:bidi w:val="0"/>
              <w:spacing w:before="0" w:after="283"/>
              <w:jc w:val="left"/>
              <w:rPr/>
            </w:pPr>
            <w:r>
              <w:rPr/>
              <w:t> </w:t>
            </w:r>
          </w:p>
        </w:tc>
        <w:tc>
          <w:tcPr>
            <w:tcW w:w="3650" w:type="dxa"/>
            <w:tcBorders/>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(Principal Executive Officer)</w:t>
            </w:r>
          </w:p>
        </w:tc>
        <w:tc>
          <w:tcPr>
            <w:tcW w:w="60" w:type="dxa"/>
            <w:tcBorders/>
            <w:tcMar>
              <w:bottom w:w="0" w:type="dxa"/>
            </w:tcMar>
            <w:vAlign w:val="center"/>
          </w:tcPr>
          <w:p>
            <w:pPr>
              <w:pStyle w:val="TableContents"/>
              <w:bidi w:val="0"/>
              <w:spacing w:before="0" w:after="283"/>
              <w:jc w:val="left"/>
              <w:rPr/>
            </w:pPr>
            <w:r>
              <w:rPr/>
              <w:t> </w:t>
            </w:r>
          </w:p>
        </w:tc>
        <w:tc>
          <w:tcPr>
            <w:tcW w:w="1550" w:type="dxa"/>
            <w:tcBorders/>
            <w:tcMar>
              <w:bottom w:w="0" w:type="dxa"/>
            </w:tcMar>
            <w:vAlign w:val="center"/>
          </w:tcPr>
          <w:p>
            <w:pPr>
              <w:pStyle w:val="TableContents"/>
              <w:bidi w:val="0"/>
              <w:spacing w:before="0" w:after="283"/>
              <w:jc w:val="center"/>
              <w:rPr/>
            </w:pPr>
            <w:r>
              <w:rPr/>
              <w:t> </w:t>
            </w:r>
          </w:p>
        </w:tc>
      </w:tr>
      <w:tr>
        <w:trPr/>
        <w:tc>
          <w:tcPr>
            <w:tcW w:w="1910" w:type="dxa"/>
            <w:tcBorders/>
            <w:tcMar>
              <w:bottom w:w="0" w:type="dxa"/>
            </w:tcMar>
            <w:vAlign w:val="center"/>
          </w:tcPr>
          <w:p>
            <w:pPr>
              <w:pStyle w:val="TableContents"/>
              <w:bidi w:val="0"/>
              <w:spacing w:before="0" w:after="283"/>
              <w:jc w:val="both"/>
              <w:rPr/>
            </w:pPr>
            <w:r>
              <w:rPr/>
              <w:t> </w:t>
            </w:r>
          </w:p>
        </w:tc>
        <w:tc>
          <w:tcPr>
            <w:tcW w:w="60" w:type="dxa"/>
            <w:tcBorders/>
            <w:tcMar>
              <w:bottom w:w="0" w:type="dxa"/>
            </w:tcMar>
            <w:vAlign w:val="center"/>
          </w:tcPr>
          <w:p>
            <w:pPr>
              <w:pStyle w:val="TableContents"/>
              <w:bidi w:val="0"/>
              <w:spacing w:before="0" w:after="283"/>
              <w:jc w:val="left"/>
              <w:rPr/>
            </w:pPr>
            <w:r>
              <w:rPr/>
              <w:t> </w:t>
            </w:r>
          </w:p>
        </w:tc>
        <w:tc>
          <w:tcPr>
            <w:tcW w:w="3650" w:type="dxa"/>
            <w:tcBorders/>
            <w:tcMar>
              <w:bottom w:w="0" w:type="dxa"/>
            </w:tcMar>
            <w:vAlign w:val="center"/>
          </w:tcPr>
          <w:p>
            <w:pPr>
              <w:pStyle w:val="TableContents"/>
              <w:bidi w:val="0"/>
              <w:spacing w:before="0" w:after="283"/>
              <w:jc w:val="both"/>
              <w:rPr/>
            </w:pPr>
            <w:r>
              <w:rPr/>
              <w:t> </w:t>
            </w:r>
          </w:p>
        </w:tc>
        <w:tc>
          <w:tcPr>
            <w:tcW w:w="60" w:type="dxa"/>
            <w:tcBorders/>
            <w:tcMar>
              <w:bottom w:w="0" w:type="dxa"/>
            </w:tcMar>
            <w:vAlign w:val="center"/>
          </w:tcPr>
          <w:p>
            <w:pPr>
              <w:pStyle w:val="TableContents"/>
              <w:bidi w:val="0"/>
              <w:spacing w:before="0" w:after="283"/>
              <w:jc w:val="left"/>
              <w:rPr/>
            </w:pPr>
            <w:r>
              <w:rPr/>
              <w:t> </w:t>
            </w:r>
          </w:p>
        </w:tc>
        <w:tc>
          <w:tcPr>
            <w:tcW w:w="1550" w:type="dxa"/>
            <w:tcBorders/>
            <w:tcMar>
              <w:bottom w:w="0" w:type="dxa"/>
            </w:tcMar>
            <w:vAlign w:val="center"/>
          </w:tcPr>
          <w:p>
            <w:pPr>
              <w:pStyle w:val="TableContents"/>
              <w:bidi w:val="0"/>
              <w:spacing w:before="0" w:after="283"/>
              <w:jc w:val="left"/>
              <w:rPr/>
            </w:pPr>
            <w:r>
              <w:rPr/>
              <w:t> </w:t>
            </w:r>
          </w:p>
        </w:tc>
      </w:tr>
      <w:tr>
        <w:trPr/>
        <w:tc>
          <w:tcPr>
            <w:tcW w:w="1910" w:type="dxa"/>
            <w:tcBorders>
              <w:bottom w:val="single" w:sz="12" w:space="0" w:color="000000"/>
            </w:tcBorders>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/s/ Zhenqiang Huang</w:t>
            </w:r>
          </w:p>
        </w:tc>
        <w:tc>
          <w:tcPr>
            <w:tcW w:w="60" w:type="dxa"/>
            <w:tcBorders/>
            <w:tcMar>
              <w:bottom w:w="0" w:type="dxa"/>
            </w:tcMar>
            <w:vAlign w:val="center"/>
          </w:tcPr>
          <w:p>
            <w:pPr>
              <w:pStyle w:val="TableContents"/>
              <w:bidi w:val="0"/>
              <w:spacing w:before="0" w:after="283"/>
              <w:jc w:val="left"/>
              <w:rPr/>
            </w:pPr>
            <w:r>
              <w:rPr/>
              <w:t> </w:t>
            </w:r>
          </w:p>
        </w:tc>
        <w:tc>
          <w:tcPr>
            <w:tcW w:w="3650" w:type="dxa"/>
            <w:tcBorders/>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Chief Financial Officer and Director</w:t>
            </w:r>
          </w:p>
        </w:tc>
        <w:tc>
          <w:tcPr>
            <w:tcW w:w="60" w:type="dxa"/>
            <w:tcBorders/>
            <w:tcMar>
              <w:bottom w:w="0" w:type="dxa"/>
            </w:tcMar>
            <w:vAlign w:val="center"/>
          </w:tcPr>
          <w:p>
            <w:pPr>
              <w:pStyle w:val="TableContents"/>
              <w:bidi w:val="0"/>
              <w:spacing w:before="0" w:after="283"/>
              <w:jc w:val="left"/>
              <w:rPr/>
            </w:pPr>
            <w:r>
              <w:rPr/>
              <w:t> </w:t>
            </w:r>
          </w:p>
        </w:tc>
        <w:tc>
          <w:tcPr>
            <w:tcW w:w="1550"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September 9, 2026</w:t>
            </w:r>
          </w:p>
        </w:tc>
      </w:tr>
      <w:tr>
        <w:trPr/>
        <w:tc>
          <w:tcPr>
            <w:tcW w:w="191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Zhenqiang Huang</w:t>
            </w:r>
          </w:p>
        </w:tc>
        <w:tc>
          <w:tcPr>
            <w:tcW w:w="60" w:type="dxa"/>
            <w:tcBorders/>
            <w:tcMar>
              <w:bottom w:w="0" w:type="dxa"/>
            </w:tcMar>
            <w:vAlign w:val="center"/>
          </w:tcPr>
          <w:p>
            <w:pPr>
              <w:pStyle w:val="TableContents"/>
              <w:bidi w:val="0"/>
              <w:spacing w:before="0" w:after="283"/>
              <w:jc w:val="left"/>
              <w:rPr/>
            </w:pPr>
            <w:r>
              <w:rPr/>
              <w:t> </w:t>
            </w:r>
          </w:p>
        </w:tc>
        <w:tc>
          <w:tcPr>
            <w:tcW w:w="3650" w:type="dxa"/>
            <w:tcBorders/>
            <w:tcMar>
              <w:bottom w:w="0" w:type="dxa"/>
            </w:tcMar>
            <w:vAlign w:val="center"/>
          </w:tcPr>
          <w:p>
            <w:pPr>
              <w:pStyle w:val="TableContents"/>
              <w:bidi w:val="0"/>
              <w:spacing w:before="0" w:after="283"/>
              <w:jc w:val="both"/>
              <w:rPr/>
            </w:pPr>
            <w:r>
              <w:rPr/>
              <w:t>(</w:t>
            </w:r>
            <w:r>
              <w:rPr>
                <w:rFonts w:ascii="Times New Roman;Times;Serif" w:hAnsi="Times New Roman;Times;Serif"/>
                <w:sz w:val="20"/>
              </w:rPr>
              <w:t>Principal Financial and Accounting Officer)</w:t>
            </w:r>
          </w:p>
        </w:tc>
        <w:tc>
          <w:tcPr>
            <w:tcW w:w="60" w:type="dxa"/>
            <w:tcBorders/>
            <w:tcMar>
              <w:bottom w:w="0" w:type="dxa"/>
            </w:tcMar>
            <w:vAlign w:val="center"/>
          </w:tcPr>
          <w:p>
            <w:pPr>
              <w:pStyle w:val="TableContents"/>
              <w:bidi w:val="0"/>
              <w:spacing w:before="0" w:after="283"/>
              <w:jc w:val="left"/>
              <w:rPr/>
            </w:pPr>
            <w:r>
              <w:rPr/>
              <w:t> </w:t>
            </w:r>
          </w:p>
        </w:tc>
        <w:tc>
          <w:tcPr>
            <w:tcW w:w="1550" w:type="dxa"/>
            <w:tcBorders/>
            <w:tcMar>
              <w:bottom w:w="0" w:type="dxa"/>
            </w:tcMar>
            <w:vAlign w:val="center"/>
          </w:tcPr>
          <w:p>
            <w:pPr>
              <w:pStyle w:val="TableContents"/>
              <w:bidi w:val="0"/>
              <w:spacing w:before="0" w:after="283"/>
              <w:jc w:val="center"/>
              <w:rPr/>
            </w:pPr>
            <w:r>
              <w:rPr/>
              <w:t> </w:t>
            </w:r>
          </w:p>
        </w:tc>
      </w:tr>
      <w:tr>
        <w:trPr/>
        <w:tc>
          <w:tcPr>
            <w:tcW w:w="1910" w:type="dxa"/>
            <w:tcBorders/>
            <w:tcMar>
              <w:bottom w:w="0" w:type="dxa"/>
            </w:tcMar>
            <w:vAlign w:val="center"/>
          </w:tcPr>
          <w:p>
            <w:pPr>
              <w:pStyle w:val="TableContents"/>
              <w:bidi w:val="0"/>
              <w:spacing w:before="0" w:after="283"/>
              <w:jc w:val="both"/>
              <w:rPr/>
            </w:pPr>
            <w:r>
              <w:rPr/>
              <w:t> </w:t>
            </w:r>
          </w:p>
        </w:tc>
        <w:tc>
          <w:tcPr>
            <w:tcW w:w="60" w:type="dxa"/>
            <w:tcBorders/>
            <w:tcMar>
              <w:bottom w:w="0" w:type="dxa"/>
            </w:tcMar>
            <w:vAlign w:val="center"/>
          </w:tcPr>
          <w:p>
            <w:pPr>
              <w:pStyle w:val="TableContents"/>
              <w:bidi w:val="0"/>
              <w:spacing w:before="0" w:after="283"/>
              <w:jc w:val="left"/>
              <w:rPr/>
            </w:pPr>
            <w:r>
              <w:rPr/>
              <w:t> </w:t>
            </w:r>
          </w:p>
        </w:tc>
        <w:tc>
          <w:tcPr>
            <w:tcW w:w="3650" w:type="dxa"/>
            <w:tcBorders/>
            <w:tcMar>
              <w:bottom w:w="0" w:type="dxa"/>
            </w:tcMar>
            <w:vAlign w:val="center"/>
          </w:tcPr>
          <w:p>
            <w:pPr>
              <w:pStyle w:val="TableContents"/>
              <w:bidi w:val="0"/>
              <w:spacing w:before="0" w:after="283"/>
              <w:jc w:val="both"/>
              <w:rPr/>
            </w:pPr>
            <w:r>
              <w:rPr/>
              <w:t> </w:t>
            </w:r>
          </w:p>
        </w:tc>
        <w:tc>
          <w:tcPr>
            <w:tcW w:w="60" w:type="dxa"/>
            <w:tcBorders/>
            <w:tcMar>
              <w:bottom w:w="0" w:type="dxa"/>
            </w:tcMar>
            <w:vAlign w:val="center"/>
          </w:tcPr>
          <w:p>
            <w:pPr>
              <w:pStyle w:val="TableContents"/>
              <w:bidi w:val="0"/>
              <w:spacing w:before="0" w:after="283"/>
              <w:jc w:val="left"/>
              <w:rPr/>
            </w:pPr>
            <w:r>
              <w:rPr/>
              <w:t> </w:t>
            </w:r>
          </w:p>
        </w:tc>
        <w:tc>
          <w:tcPr>
            <w:tcW w:w="1550" w:type="dxa"/>
            <w:tcBorders/>
            <w:tcMar>
              <w:bottom w:w="0" w:type="dxa"/>
            </w:tcMar>
            <w:vAlign w:val="center"/>
          </w:tcPr>
          <w:p>
            <w:pPr>
              <w:pStyle w:val="TableContents"/>
              <w:bidi w:val="0"/>
              <w:spacing w:before="0" w:after="283"/>
              <w:jc w:val="left"/>
              <w:rPr/>
            </w:pPr>
            <w:r>
              <w:rPr/>
              <w:t> </w:t>
            </w:r>
          </w:p>
        </w:tc>
      </w:tr>
      <w:tr>
        <w:trPr/>
        <w:tc>
          <w:tcPr>
            <w:tcW w:w="1910" w:type="dxa"/>
            <w:tcBorders>
              <w:bottom w:val="single" w:sz="12" w:space="0" w:color="000000"/>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tcMar>
              <w:bottom w:w="0" w:type="dxa"/>
            </w:tcMar>
            <w:vAlign w:val="center"/>
          </w:tcPr>
          <w:p>
            <w:pPr>
              <w:pStyle w:val="TableContents"/>
              <w:bidi w:val="0"/>
              <w:spacing w:before="0" w:after="283"/>
              <w:jc w:val="left"/>
              <w:rPr/>
            </w:pPr>
            <w:r>
              <w:rPr/>
              <w:t> </w:t>
            </w:r>
          </w:p>
        </w:tc>
        <w:tc>
          <w:tcPr>
            <w:tcW w:w="3650" w:type="dxa"/>
            <w:tcBorders/>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Director</w:t>
            </w:r>
          </w:p>
        </w:tc>
        <w:tc>
          <w:tcPr>
            <w:tcW w:w="60" w:type="dxa"/>
            <w:tcBorders/>
            <w:tcMar>
              <w:bottom w:w="0" w:type="dxa"/>
            </w:tcMar>
            <w:vAlign w:val="center"/>
          </w:tcPr>
          <w:p>
            <w:pPr>
              <w:pStyle w:val="TableContents"/>
              <w:bidi w:val="0"/>
              <w:spacing w:before="0" w:after="283"/>
              <w:jc w:val="left"/>
              <w:rPr/>
            </w:pPr>
            <w:r>
              <w:rPr/>
              <w:t> </w:t>
            </w:r>
          </w:p>
        </w:tc>
        <w:tc>
          <w:tcPr>
            <w:tcW w:w="1550"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September 9, 2026</w:t>
            </w:r>
          </w:p>
        </w:tc>
      </w:tr>
      <w:tr>
        <w:trPr/>
        <w:tc>
          <w:tcPr>
            <w:tcW w:w="191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John Shigley</w:t>
            </w:r>
          </w:p>
        </w:tc>
        <w:tc>
          <w:tcPr>
            <w:tcW w:w="60" w:type="dxa"/>
            <w:tcBorders/>
            <w:tcMar>
              <w:bottom w:w="0" w:type="dxa"/>
            </w:tcMar>
            <w:vAlign w:val="center"/>
          </w:tcPr>
          <w:p>
            <w:pPr>
              <w:pStyle w:val="TableContents"/>
              <w:bidi w:val="0"/>
              <w:spacing w:before="0" w:after="283"/>
              <w:jc w:val="left"/>
              <w:rPr/>
            </w:pPr>
            <w:r>
              <w:rPr/>
              <w:t> </w:t>
            </w:r>
          </w:p>
        </w:tc>
        <w:tc>
          <w:tcPr>
            <w:tcW w:w="3650" w:type="dxa"/>
            <w:tcBorders/>
            <w:tcMar>
              <w:bottom w:w="0" w:type="dxa"/>
            </w:tcMar>
            <w:vAlign w:val="center"/>
          </w:tcPr>
          <w:p>
            <w:pPr>
              <w:pStyle w:val="TableContents"/>
              <w:bidi w:val="0"/>
              <w:spacing w:before="0" w:after="283"/>
              <w:jc w:val="both"/>
              <w:rPr/>
            </w:pPr>
            <w:r>
              <w:rPr/>
              <w:t> </w:t>
            </w:r>
          </w:p>
        </w:tc>
        <w:tc>
          <w:tcPr>
            <w:tcW w:w="60" w:type="dxa"/>
            <w:tcBorders/>
            <w:tcMar>
              <w:bottom w:w="0" w:type="dxa"/>
            </w:tcMar>
            <w:vAlign w:val="center"/>
          </w:tcPr>
          <w:p>
            <w:pPr>
              <w:pStyle w:val="TableContents"/>
              <w:bidi w:val="0"/>
              <w:spacing w:before="0" w:after="283"/>
              <w:jc w:val="left"/>
              <w:rPr/>
            </w:pPr>
            <w:r>
              <w:rPr/>
              <w:t> </w:t>
            </w:r>
          </w:p>
        </w:tc>
        <w:tc>
          <w:tcPr>
            <w:tcW w:w="1550" w:type="dxa"/>
            <w:tcBorders/>
            <w:tcMar>
              <w:bottom w:w="0" w:type="dxa"/>
            </w:tcMar>
            <w:vAlign w:val="center"/>
          </w:tcPr>
          <w:p>
            <w:pPr>
              <w:pStyle w:val="TableContents"/>
              <w:bidi w:val="0"/>
              <w:spacing w:before="0" w:after="283"/>
              <w:jc w:val="center"/>
              <w:rPr/>
            </w:pPr>
            <w:r>
              <w:rPr/>
              <w:t> </w:t>
            </w:r>
          </w:p>
        </w:tc>
      </w:tr>
      <w:tr>
        <w:trPr/>
        <w:tc>
          <w:tcPr>
            <w:tcW w:w="191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3650" w:type="dxa"/>
            <w:tcBorders/>
            <w:tcMar>
              <w:bottom w:w="0" w:type="dxa"/>
            </w:tcMar>
            <w:vAlign w:val="center"/>
          </w:tcPr>
          <w:p>
            <w:pPr>
              <w:pStyle w:val="TableContents"/>
              <w:bidi w:val="0"/>
              <w:spacing w:before="0" w:after="283"/>
              <w:jc w:val="both"/>
              <w:rPr/>
            </w:pPr>
            <w:r>
              <w:rPr/>
              <w:t> </w:t>
            </w:r>
          </w:p>
        </w:tc>
        <w:tc>
          <w:tcPr>
            <w:tcW w:w="60" w:type="dxa"/>
            <w:tcBorders/>
            <w:tcMar>
              <w:bottom w:w="0" w:type="dxa"/>
            </w:tcMar>
            <w:vAlign w:val="center"/>
          </w:tcPr>
          <w:p>
            <w:pPr>
              <w:pStyle w:val="TableContents"/>
              <w:bidi w:val="0"/>
              <w:spacing w:before="0" w:after="283"/>
              <w:jc w:val="left"/>
              <w:rPr/>
            </w:pPr>
            <w:r>
              <w:rPr/>
              <w:t> </w:t>
            </w:r>
          </w:p>
        </w:tc>
        <w:tc>
          <w:tcPr>
            <w:tcW w:w="1550" w:type="dxa"/>
            <w:tcBorders/>
            <w:tcMar>
              <w:bottom w:w="0" w:type="dxa"/>
            </w:tcMar>
            <w:vAlign w:val="center"/>
          </w:tcPr>
          <w:p>
            <w:pPr>
              <w:pStyle w:val="TableContents"/>
              <w:bidi w:val="0"/>
              <w:spacing w:before="0" w:after="283"/>
              <w:jc w:val="center"/>
              <w:rPr/>
            </w:pPr>
            <w:r>
              <w:rPr/>
              <w:t> </w:t>
            </w:r>
          </w:p>
        </w:tc>
      </w:tr>
      <w:tr>
        <w:trPr/>
        <w:tc>
          <w:tcPr>
            <w:tcW w:w="1910" w:type="dxa"/>
            <w:tcBorders>
              <w:bottom w:val="single" w:sz="12" w:space="0" w:color="000000"/>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tcMar>
              <w:bottom w:w="0" w:type="dxa"/>
            </w:tcMar>
            <w:vAlign w:val="center"/>
          </w:tcPr>
          <w:p>
            <w:pPr>
              <w:pStyle w:val="TableContents"/>
              <w:bidi w:val="0"/>
              <w:spacing w:before="0" w:after="283"/>
              <w:jc w:val="left"/>
              <w:rPr/>
            </w:pPr>
            <w:r>
              <w:rPr/>
              <w:t> </w:t>
            </w:r>
          </w:p>
        </w:tc>
        <w:tc>
          <w:tcPr>
            <w:tcW w:w="3650" w:type="dxa"/>
            <w:tcBorders/>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Director</w:t>
            </w:r>
          </w:p>
        </w:tc>
        <w:tc>
          <w:tcPr>
            <w:tcW w:w="60" w:type="dxa"/>
            <w:tcBorders/>
            <w:tcMar>
              <w:bottom w:w="0" w:type="dxa"/>
            </w:tcMar>
            <w:vAlign w:val="center"/>
          </w:tcPr>
          <w:p>
            <w:pPr>
              <w:pStyle w:val="TableContents"/>
              <w:bidi w:val="0"/>
              <w:spacing w:before="0" w:after="283"/>
              <w:jc w:val="left"/>
              <w:rPr/>
            </w:pPr>
            <w:r>
              <w:rPr/>
              <w:t> </w:t>
            </w:r>
          </w:p>
        </w:tc>
        <w:tc>
          <w:tcPr>
            <w:tcW w:w="1550"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September 9, 2026</w:t>
            </w:r>
          </w:p>
        </w:tc>
      </w:tr>
      <w:tr>
        <w:trPr/>
        <w:tc>
          <w:tcPr>
            <w:tcW w:w="191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Stephen Markscheid</w:t>
            </w:r>
          </w:p>
        </w:tc>
        <w:tc>
          <w:tcPr>
            <w:tcW w:w="60" w:type="dxa"/>
            <w:tcBorders/>
            <w:tcMar>
              <w:bottom w:w="0" w:type="dxa"/>
            </w:tcMar>
            <w:vAlign w:val="center"/>
          </w:tcPr>
          <w:p>
            <w:pPr>
              <w:pStyle w:val="TableContents"/>
              <w:bidi w:val="0"/>
              <w:spacing w:before="0" w:after="283"/>
              <w:jc w:val="left"/>
              <w:rPr/>
            </w:pPr>
            <w:r>
              <w:rPr/>
              <w:t> </w:t>
            </w:r>
          </w:p>
        </w:tc>
        <w:tc>
          <w:tcPr>
            <w:tcW w:w="3650" w:type="dxa"/>
            <w:tcBorders/>
            <w:tcMar>
              <w:bottom w:w="0" w:type="dxa"/>
            </w:tcMar>
            <w:vAlign w:val="center"/>
          </w:tcPr>
          <w:p>
            <w:pPr>
              <w:pStyle w:val="TableContents"/>
              <w:bidi w:val="0"/>
              <w:spacing w:before="0" w:after="283"/>
              <w:jc w:val="both"/>
              <w:rPr/>
            </w:pPr>
            <w:r>
              <w:rPr/>
              <w:t> </w:t>
            </w:r>
          </w:p>
        </w:tc>
        <w:tc>
          <w:tcPr>
            <w:tcW w:w="60" w:type="dxa"/>
            <w:tcBorders/>
            <w:tcMar>
              <w:bottom w:w="0" w:type="dxa"/>
            </w:tcMar>
            <w:vAlign w:val="center"/>
          </w:tcPr>
          <w:p>
            <w:pPr>
              <w:pStyle w:val="TableContents"/>
              <w:bidi w:val="0"/>
              <w:spacing w:before="0" w:after="283"/>
              <w:jc w:val="left"/>
              <w:rPr/>
            </w:pPr>
            <w:r>
              <w:rPr/>
              <w:t> </w:t>
            </w:r>
          </w:p>
        </w:tc>
        <w:tc>
          <w:tcPr>
            <w:tcW w:w="1550" w:type="dxa"/>
            <w:tcBorders/>
            <w:tcMar>
              <w:bottom w:w="0" w:type="dxa"/>
            </w:tcMar>
            <w:vAlign w:val="center"/>
          </w:tcPr>
          <w:p>
            <w:pPr>
              <w:pStyle w:val="TableContents"/>
              <w:bidi w:val="0"/>
              <w:spacing w:before="0" w:after="283"/>
              <w:jc w:val="center"/>
              <w:rPr/>
            </w:pPr>
            <w:r>
              <w:rPr/>
              <w:t> </w:t>
            </w:r>
          </w:p>
        </w:tc>
      </w:tr>
      <w:tr>
        <w:trPr/>
        <w:tc>
          <w:tcPr>
            <w:tcW w:w="191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3650" w:type="dxa"/>
            <w:tcBorders/>
            <w:tcMar>
              <w:bottom w:w="0" w:type="dxa"/>
            </w:tcMar>
            <w:vAlign w:val="center"/>
          </w:tcPr>
          <w:p>
            <w:pPr>
              <w:pStyle w:val="TableContents"/>
              <w:bidi w:val="0"/>
              <w:spacing w:before="0" w:after="283"/>
              <w:jc w:val="both"/>
              <w:rPr/>
            </w:pPr>
            <w:r>
              <w:rPr/>
              <w:t> </w:t>
            </w:r>
          </w:p>
        </w:tc>
        <w:tc>
          <w:tcPr>
            <w:tcW w:w="60" w:type="dxa"/>
            <w:tcBorders/>
            <w:tcMar>
              <w:bottom w:w="0" w:type="dxa"/>
            </w:tcMar>
            <w:vAlign w:val="center"/>
          </w:tcPr>
          <w:p>
            <w:pPr>
              <w:pStyle w:val="TableContents"/>
              <w:bidi w:val="0"/>
              <w:spacing w:before="0" w:after="283"/>
              <w:jc w:val="left"/>
              <w:rPr/>
            </w:pPr>
            <w:r>
              <w:rPr/>
              <w:t> </w:t>
            </w:r>
          </w:p>
        </w:tc>
        <w:tc>
          <w:tcPr>
            <w:tcW w:w="1550" w:type="dxa"/>
            <w:tcBorders/>
            <w:tcMar>
              <w:bottom w:w="0" w:type="dxa"/>
            </w:tcMar>
            <w:vAlign w:val="center"/>
          </w:tcPr>
          <w:p>
            <w:pPr>
              <w:pStyle w:val="TableContents"/>
              <w:bidi w:val="0"/>
              <w:spacing w:before="0" w:after="283"/>
              <w:jc w:val="center"/>
              <w:rPr/>
            </w:pPr>
            <w:r>
              <w:rPr/>
              <w:t> </w:t>
            </w:r>
          </w:p>
        </w:tc>
      </w:tr>
      <w:tr>
        <w:trPr/>
        <w:tc>
          <w:tcPr>
            <w:tcW w:w="1910" w:type="dxa"/>
            <w:tcBorders>
              <w:bottom w:val="single" w:sz="12" w:space="0" w:color="000000"/>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tcMar>
              <w:bottom w:w="0" w:type="dxa"/>
            </w:tcMar>
            <w:vAlign w:val="center"/>
          </w:tcPr>
          <w:p>
            <w:pPr>
              <w:pStyle w:val="TableContents"/>
              <w:bidi w:val="0"/>
              <w:spacing w:before="0" w:after="283"/>
              <w:jc w:val="left"/>
              <w:rPr/>
            </w:pPr>
            <w:r>
              <w:rPr/>
              <w:t> </w:t>
            </w:r>
          </w:p>
        </w:tc>
        <w:tc>
          <w:tcPr>
            <w:tcW w:w="3650" w:type="dxa"/>
            <w:tcBorders/>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Director</w:t>
            </w:r>
          </w:p>
        </w:tc>
        <w:tc>
          <w:tcPr>
            <w:tcW w:w="60" w:type="dxa"/>
            <w:tcBorders/>
            <w:tcMar>
              <w:bottom w:w="0" w:type="dxa"/>
            </w:tcMar>
            <w:vAlign w:val="center"/>
          </w:tcPr>
          <w:p>
            <w:pPr>
              <w:pStyle w:val="TableContents"/>
              <w:bidi w:val="0"/>
              <w:spacing w:before="0" w:after="283"/>
              <w:jc w:val="left"/>
              <w:rPr/>
            </w:pPr>
            <w:r>
              <w:rPr/>
              <w:t> </w:t>
            </w:r>
          </w:p>
        </w:tc>
        <w:tc>
          <w:tcPr>
            <w:tcW w:w="1550"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September 9, 2026</w:t>
            </w:r>
          </w:p>
        </w:tc>
      </w:tr>
      <w:tr>
        <w:trPr/>
        <w:tc>
          <w:tcPr>
            <w:tcW w:w="191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Saul Factor</w:t>
            </w:r>
          </w:p>
        </w:tc>
        <w:tc>
          <w:tcPr>
            <w:tcW w:w="60" w:type="dxa"/>
            <w:tcBorders/>
            <w:tcMar>
              <w:bottom w:w="0" w:type="dxa"/>
            </w:tcMar>
            <w:vAlign w:val="center"/>
          </w:tcPr>
          <w:p>
            <w:pPr>
              <w:pStyle w:val="TableContents"/>
              <w:bidi w:val="0"/>
              <w:spacing w:before="0" w:after="283"/>
              <w:jc w:val="left"/>
              <w:rPr/>
            </w:pPr>
            <w:r>
              <w:rPr/>
              <w:t> </w:t>
            </w:r>
          </w:p>
        </w:tc>
        <w:tc>
          <w:tcPr>
            <w:tcW w:w="3650" w:type="dxa"/>
            <w:tcBorders/>
            <w:tcMar>
              <w:bottom w:w="0" w:type="dxa"/>
            </w:tcMar>
            <w:vAlign w:val="center"/>
          </w:tcPr>
          <w:p>
            <w:pPr>
              <w:pStyle w:val="TableContents"/>
              <w:bidi w:val="0"/>
              <w:spacing w:before="0" w:after="283"/>
              <w:jc w:val="both"/>
              <w:rPr/>
            </w:pPr>
            <w:r>
              <w:rPr/>
              <w:t> </w:t>
            </w:r>
          </w:p>
        </w:tc>
        <w:tc>
          <w:tcPr>
            <w:tcW w:w="60" w:type="dxa"/>
            <w:tcBorders/>
            <w:tcMar>
              <w:bottom w:w="0" w:type="dxa"/>
            </w:tcMar>
            <w:vAlign w:val="center"/>
          </w:tcPr>
          <w:p>
            <w:pPr>
              <w:pStyle w:val="TableContents"/>
              <w:bidi w:val="0"/>
              <w:spacing w:before="0" w:after="283"/>
              <w:jc w:val="left"/>
              <w:rPr/>
            </w:pPr>
            <w:r>
              <w:rPr/>
              <w:t> </w:t>
            </w:r>
          </w:p>
        </w:tc>
        <w:tc>
          <w:tcPr>
            <w:tcW w:w="1550" w:type="dxa"/>
            <w:tcBorders/>
            <w:tcMar>
              <w:bottom w:w="0" w:type="dxa"/>
            </w:tcMar>
            <w:vAlign w:val="center"/>
          </w:tcPr>
          <w:p>
            <w:pPr>
              <w:pStyle w:val="TableContents"/>
              <w:bidi w:val="0"/>
              <w:spacing w:before="0" w:after="283"/>
              <w:jc w:val="center"/>
              <w:rPr/>
            </w:pPr>
            <w:r>
              <w:rPr/>
              <w:t> </w:t>
            </w:r>
          </w:p>
        </w:tc>
      </w:tr>
    </w:tbl>
    <w:p>
      <w:pPr>
        <w:pStyle w:val="TextBody"/>
        <w:bidi w:val="0"/>
        <w:spacing w:before="0" w:after="283"/>
        <w:jc w:val="left"/>
        <w:rPr/>
      </w:pPr>
      <w:r>
        <w:rPr/>
        <w:t> </w:t>
      </w:r>
    </w:p>
    <w:tbl>
      <w:tblPr>
        <w:tblW w:w="2890" w:type="dxa"/>
        <w:jc w:val="left"/>
        <w:tblInd w:w="0" w:type="dxa"/>
        <w:tblLayout w:type="fixed"/>
        <w:tblCellMar>
          <w:top w:w="0" w:type="dxa"/>
          <w:left w:w="0" w:type="dxa"/>
          <w:bottom w:w="0" w:type="dxa"/>
          <w:right w:w="0" w:type="dxa"/>
        </w:tblCellMar>
      </w:tblPr>
      <w:tblGrid>
        <w:gridCol w:w="785"/>
        <w:gridCol w:w="2030"/>
        <w:gridCol w:w="75"/>
      </w:tblGrid>
      <w:tr>
        <w:trPr/>
        <w:tc>
          <w:tcPr>
            <w:tcW w:w="785" w:type="dxa"/>
            <w:tcBorders/>
            <w:vAlign w:val="center"/>
          </w:tcPr>
          <w:p>
            <w:pPr>
              <w:pStyle w:val="TableContents"/>
              <w:bidi w:val="0"/>
              <w:spacing w:before="0" w:after="283"/>
              <w:jc w:val="left"/>
              <w:rPr/>
            </w:pPr>
            <w:r>
              <w:rPr/>
              <w:t>* By:</w:t>
            </w:r>
          </w:p>
        </w:tc>
        <w:tc>
          <w:tcPr>
            <w:tcW w:w="2030" w:type="dxa"/>
            <w:tcBorders>
              <w:bottom w:val="single" w:sz="12" w:space="0" w:color="000000"/>
            </w:tcBorders>
            <w:tcMar>
              <w:bottom w:w="28" w:type="dxa"/>
            </w:tcMar>
            <w:vAlign w:val="center"/>
          </w:tcPr>
          <w:p>
            <w:pPr>
              <w:pStyle w:val="TableContents"/>
              <w:bidi w:val="0"/>
              <w:spacing w:before="0" w:after="283"/>
              <w:jc w:val="left"/>
              <w:rPr>
                <w:i/>
              </w:rPr>
            </w:pPr>
            <w:r>
              <w:rPr>
                <w:i/>
              </w:rPr>
              <w:t>/s/ Zhenqiang Huang</w:t>
            </w:r>
          </w:p>
        </w:tc>
        <w:tc>
          <w:tcPr>
            <w:tcW w:w="75" w:type="dxa"/>
            <w:tcBorders/>
            <w:vAlign w:val="center"/>
          </w:tcPr>
          <w:p>
            <w:pPr>
              <w:pStyle w:val="TableContents"/>
              <w:bidi w:val="0"/>
              <w:spacing w:before="0" w:after="283"/>
              <w:jc w:val="left"/>
              <w:rPr/>
            </w:pPr>
            <w:r>
              <w:rPr/>
              <w:t> </w:t>
            </w:r>
          </w:p>
        </w:tc>
      </w:tr>
      <w:tr>
        <w:trPr/>
        <w:tc>
          <w:tcPr>
            <w:tcW w:w="785" w:type="dxa"/>
            <w:tcBorders/>
            <w:vAlign w:val="center"/>
          </w:tcPr>
          <w:p>
            <w:pPr>
              <w:pStyle w:val="TableContents"/>
              <w:bidi w:val="0"/>
              <w:spacing w:before="0" w:after="283"/>
              <w:jc w:val="left"/>
              <w:rPr/>
            </w:pPr>
            <w:r>
              <w:rPr/>
              <w:t xml:space="preserve">Name:  </w:t>
            </w:r>
          </w:p>
        </w:tc>
        <w:tc>
          <w:tcPr>
            <w:tcW w:w="2030" w:type="dxa"/>
            <w:tcBorders/>
            <w:vAlign w:val="center"/>
          </w:tcPr>
          <w:p>
            <w:pPr>
              <w:pStyle w:val="TableContents"/>
              <w:bidi w:val="0"/>
              <w:spacing w:before="0" w:after="283"/>
              <w:jc w:val="left"/>
              <w:rPr/>
            </w:pPr>
            <w:r>
              <w:rPr/>
              <w:t>Zhenqiang Huang</w:t>
              <w:br/>
              <w:t>Attorney-in-fact</w:t>
            </w:r>
          </w:p>
        </w:tc>
        <w:tc>
          <w:tcPr>
            <w:tcW w:w="75" w:type="dxa"/>
            <w:tcBorders/>
            <w:vAlign w:val="center"/>
          </w:tcPr>
          <w:p>
            <w:pPr>
              <w:pStyle w:val="TableContents"/>
              <w:bidi w:val="0"/>
              <w:spacing w:before="0" w:after="283"/>
              <w:jc w:val="left"/>
              <w:rPr/>
            </w:pPr>
            <w:r>
              <w:rPr/>
              <w:t> </w:t>
            </w:r>
          </w:p>
        </w:tc>
      </w:tr>
    </w:tbl>
    <w:p>
      <w:pPr>
        <w:pStyle w:val="TextBody"/>
        <w:bidi w:val="0"/>
        <w:spacing w:before="0" w:after="283"/>
        <w:jc w:val="left"/>
        <w:rPr/>
      </w:pPr>
      <w:r>
        <w:rPr/>
        <w:t> </w:t>
      </w:r>
    </w:p>
    <w:p>
      <w:pPr>
        <w:pStyle w:val="TextBody"/>
        <w:bidi w:val="0"/>
        <w:spacing w:before="0" w:after="283"/>
        <w:jc w:val="left"/>
        <w:rPr/>
      </w:pPr>
      <w:r>
        <w:rPr/>
        <w:t> </w:t>
      </w:r>
    </w:p>
    <w:p>
      <w:pPr>
        <w:pStyle w:val="TextBody"/>
        <w:bidi w:val="0"/>
        <w:jc w:val="center"/>
        <w:rPr/>
      </w:pPr>
      <w:r>
        <w:rPr/>
        <w:t>II-3</w:t>
      </w:r>
    </w:p>
    <w:p>
      <w:pPr>
        <w:pStyle w:val="TextBody"/>
        <w:bidi w:val="0"/>
        <w:jc w:val="left"/>
        <w:rPr>
          <w:bdr w:val="single" w:sz="12" w:space="1" w:color="000000"/>
        </w:rPr>
      </w:pPr>
      <w:r>
        <w:rPr>
          <w:bdr w:val="single" w:sz="12" w:space="1" w:color="000000"/>
        </w:rPr>
        <w:t> </w:t>
      </w:r>
    </w:p>
    <w:p>
      <w:pPr>
        <w:pStyle w:val="TextBody"/>
        <w:bidi w:val="0"/>
        <w:spacing w:before="0" w:after="283"/>
        <w:jc w:val="left"/>
        <w:rPr/>
      </w:pPr>
      <w:r>
        <w:rPr/>
        <w:t> </w:t>
      </w:r>
    </w:p>
    <w:p>
      <w:pPr>
        <w:pStyle w:val="TextBody"/>
        <w:bidi w:val="0"/>
        <w:jc w:val="right"/>
        <w:rPr>
          <w:b/>
        </w:rPr>
      </w:pPr>
      <w:bookmarkStart w:id="3" w:name="ea030488101ex23-1.htm"/>
      <w:bookmarkStart w:id="4" w:name="ksea030488101ex231"/>
      <w:bookmarkEnd w:id="3"/>
      <w:bookmarkEnd w:id="4"/>
      <w:r>
        <w:rPr>
          <w:b/>
        </w:rPr>
        <w:t>Exhibit 23.1</w:t>
      </w:r>
      <w:r>
        <w:br w:type="page"/>
      </w:r>
    </w:p>
    <w:p>
      <w:pPr>
        <w:pStyle w:val="TextBody"/>
        <w:bidi w:val="0"/>
        <w:spacing w:before="0" w:after="283"/>
        <w:jc w:val="left"/>
        <w:rPr/>
      </w:pPr>
      <w:r>
        <w:rPr/>
        <w:t> </w:t>
      </w:r>
    </w:p>
    <w:p>
      <w:pPr>
        <w:pStyle w:val="TextBody"/>
        <w:bidi w:val="0"/>
        <w:jc w:val="center"/>
        <w:rPr/>
      </w:pPr>
      <w:r>
        <w:rPr/>
        <w:drawing>
          <wp:inline distT="0" distB="0" distL="0" distR="0">
            <wp:extent cx="5095875" cy="10382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35"/>
                    <a:stretch>
                      <a:fillRect/>
                    </a:stretch>
                  </pic:blipFill>
                  <pic:spPr bwMode="auto">
                    <a:xfrm>
                      <a:off x="0" y="0"/>
                      <a:ext cx="5095875" cy="1038225"/>
                    </a:xfrm>
                    <a:prstGeom prst="rect">
                      <a:avLst/>
                    </a:prstGeom>
                  </pic:spPr>
                </pic:pic>
              </a:graphicData>
            </a:graphic>
          </wp:inline>
        </w:drawing>
      </w:r>
    </w:p>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CONSENT OF INDEPENDENT REGISTERED PUBLIC ACCOUNTING FIRM</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the Board of Directors and Stockholders of Richtech Robotics Inc.:</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hereby consent to the use in this Post-Effective Amendment to the Registration Statement on Form S-1/A (File No. 333-293535) of Richtech Robotics Inc. (the “Company”) of our report dated August 7, 2026, relating to the consolidated financial statements of the Company as of September 30, 2025 and September 30, 2024, and for each of the two years then ended, which report appears in the Company’s Annual Report on Form 10-K for the fiscal year ended September 30, 2025, and to the reference to us under the heading “Experts” in the prospectus, which is part of this Registration Statement.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giving the foregoing consent, we do not admit that we are within the category of persons whose consent is required under Section 7 of the Securities Act of 1933, as amended, or the rules and regulations of the Securities and Exchange Commission promulgated thereunder.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Bush &amp; Associates CPA LLC</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Bush &amp; Associates CPA LLC</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PCAOB ID No. 6797</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September 9, 2026</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Las Vegas, Nevada</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12" w:space="1" w:color="000000"/>
        </w:rPr>
      </w:pPr>
      <w:r>
        <w:rPr>
          <w:bdr w:val="single" w:sz="12" w:space="1" w:color="000000"/>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9555 S. Eastern Ave, Ste 280, Las Vegas, NV 89123 ● 702.703.5979 ● www.bushandassociatescpas.com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Archives/edgar/data/1963685/000121390023089609/ea188933ex3-1_richtech.htm" TargetMode="External"/><Relationship Id="rId3" Type="http://schemas.openxmlformats.org/officeDocument/2006/relationships/hyperlink" Target="http://www.sec.gov/Archives/edgar/data/1963685/000121390025111197/ea026557901ex3-1_richtech.htm" TargetMode="External"/><Relationship Id="rId4" Type="http://schemas.openxmlformats.org/officeDocument/2006/relationships/hyperlink" Target="http://www.sec.gov/Archives/edgar/data/1963685/000121390024003044/f10k2023ex3-3_richtech.htm" TargetMode="External"/><Relationship Id="rId5" Type="http://schemas.openxmlformats.org/officeDocument/2006/relationships/hyperlink" Target="http://www.sec.gov/Archives/edgar/data/1963685/000121390023073129/fs12023a1ex4-1_richtech.htm" TargetMode="External"/><Relationship Id="rId6" Type="http://schemas.openxmlformats.org/officeDocument/2006/relationships/hyperlink" Target="http://www.sec.gov/Archives/edgar/data/1963685/000121390023089609/ea188933ex4-1_richtech.htm" TargetMode="External"/><Relationship Id="rId7" Type="http://schemas.openxmlformats.org/officeDocument/2006/relationships/hyperlink" Target="http://www.sec.gov/Archives/edgar/data/1963685/000121390024076143/ea021364501ex4-1_richtech.htm" TargetMode="External"/><Relationship Id="rId8" Type="http://schemas.openxmlformats.org/officeDocument/2006/relationships/hyperlink" Target="http://www.sec.gov/Archives/edgar/data/1963685/000121390024076143/ea021364501ex4-2_richtech.htm" TargetMode="External"/><Relationship Id="rId9" Type="http://schemas.openxmlformats.org/officeDocument/2006/relationships/hyperlink" Target="http://www.sec.gov/Archives/edgar/data/1963685/000121390024076143/ea021364501ex4-3_richtech.htm" TargetMode="External"/><Relationship Id="rId10" Type="http://schemas.openxmlformats.org/officeDocument/2006/relationships/hyperlink" Target="http://www.sec.gov/Archives/edgar/data/1963685/000121390025011887/ea023058801ex4-1_richtech.htm" TargetMode="External"/><Relationship Id="rId11" Type="http://schemas.openxmlformats.org/officeDocument/2006/relationships/hyperlink" Target="https://www.sec.gov/Archives/edgar/data/1963685/000121390026017558/ea027704901ex5-1_richtech.htm" TargetMode="External"/><Relationship Id="rId12" Type="http://schemas.openxmlformats.org/officeDocument/2006/relationships/hyperlink" Target="http://www.sec.gov/Archives/edgar/data/1963685/000121390024089677/ea021828401ex10-1_richtech.htm" TargetMode="External"/><Relationship Id="rId13" Type="http://schemas.openxmlformats.org/officeDocument/2006/relationships/hyperlink" Target="http://www.sec.gov/Archives/edgar/data/1963685/000121390023073129/fs12023a1ex10-4_richtech.htm" TargetMode="External"/><Relationship Id="rId14" Type="http://schemas.openxmlformats.org/officeDocument/2006/relationships/hyperlink" Target="http://www.sec.gov/Archives/edgar/data/1963685/000121390023073129/fs12023a1ex10-5_richtech.htm" TargetMode="External"/><Relationship Id="rId15" Type="http://schemas.openxmlformats.org/officeDocument/2006/relationships/hyperlink" Target="http://www.sec.gov/Archives/edgar/data/1963685/000121390025111197/ea026557901ex10-1_richtech.htm" TargetMode="External"/><Relationship Id="rId16" Type="http://schemas.openxmlformats.org/officeDocument/2006/relationships/hyperlink" Target="http://www.sec.gov/Archives/edgar/data/1963685/000121390023073129/fs12023a1ex10-7_richtech.htm" TargetMode="External"/><Relationship Id="rId17" Type="http://schemas.openxmlformats.org/officeDocument/2006/relationships/hyperlink" Target="http://www.sec.gov/Archives/edgar/data/1963685/000121390023073129/fs12023a1ex10-8_richtech.htm" TargetMode="External"/><Relationship Id="rId18" Type="http://schemas.openxmlformats.org/officeDocument/2006/relationships/hyperlink" Target="http://www.sec.gov/Archives/edgar/data/1963685/000121390023073129/fs12023a1ex10-9_richtech.htm" TargetMode="External"/><Relationship Id="rId19" Type="http://schemas.openxmlformats.org/officeDocument/2006/relationships/hyperlink" Target="http://www.sec.gov/Archives/edgar/data/1963685/000121390023073129/fs12023a1ex10-10_richtech.htm" TargetMode="External"/><Relationship Id="rId20" Type="http://schemas.openxmlformats.org/officeDocument/2006/relationships/hyperlink" Target="http://www.sec.gov/Archives/edgar/data/1963685/000121390023073129/fs12023a1ex10-11_richtech.htm" TargetMode="External"/><Relationship Id="rId21" Type="http://schemas.openxmlformats.org/officeDocument/2006/relationships/hyperlink" Target="http://www.sec.gov/Archives/edgar/data/1963685/000121390024015755/ea0200404ex10-1_richtech.htm" TargetMode="External"/><Relationship Id="rId22" Type="http://schemas.openxmlformats.org/officeDocument/2006/relationships/hyperlink" Target="http://www.sec.gov/Archives/edgar/data/1963685/000121390024023065/ea020187901ex10-1_richtech.htm" TargetMode="External"/><Relationship Id="rId23" Type="http://schemas.openxmlformats.org/officeDocument/2006/relationships/hyperlink" Target="http://www.sec.gov/Archives/edgar/data/1963685/000121390024076143/ea021364501ex10-1_richtech.htm" TargetMode="External"/><Relationship Id="rId24" Type="http://schemas.openxmlformats.org/officeDocument/2006/relationships/hyperlink" Target="http://www.sec.gov/Archives/edgar/data/1963685/000121390025011887/ea023058801ex10-1_richtech.htm" TargetMode="External"/><Relationship Id="rId25" Type="http://schemas.openxmlformats.org/officeDocument/2006/relationships/hyperlink" Target="http://www.sec.gov/Archives/edgar/data/1963685/000121390025031633/ea023824001ex10-1_richtech.htm" TargetMode="External"/><Relationship Id="rId26" Type="http://schemas.openxmlformats.org/officeDocument/2006/relationships/hyperlink" Target="http://www.sec.gov/Archives/edgar/data/1963685/000121390025059641/ea024758501ex10-1_richtech.htm" TargetMode="External"/><Relationship Id="rId27" Type="http://schemas.openxmlformats.org/officeDocument/2006/relationships/hyperlink" Target="http://www.sec.gov/Archives/edgar/data/1963685/000121390025080120/ea025442101ex10-1_richtech.htm" TargetMode="External"/><Relationship Id="rId28" Type="http://schemas.openxmlformats.org/officeDocument/2006/relationships/hyperlink" Target="http://www.sec.gov/Archives/edgar/data/1963685/000121390025081354/ea025479301ex10-1_richtech.htm" TargetMode="External"/><Relationship Id="rId29" Type="http://schemas.openxmlformats.org/officeDocument/2006/relationships/hyperlink" Target="http://www.sec.gov/Archives/edgar/data/1963685/000121390025090793/ea025844101ex10-1_richtech.htm" TargetMode="External"/><Relationship Id="rId30" Type="http://schemas.openxmlformats.org/officeDocument/2006/relationships/hyperlink" Target="http://www.sec.gov/Archives/edgar/data/1963685/000121390026009823/ea027473901ex10-1_richtech.htm" TargetMode="External"/><Relationship Id="rId31" Type="http://schemas.openxmlformats.org/officeDocument/2006/relationships/hyperlink" Target="http://www.sec.gov/Archives/edgar/data/1963685/000121390026009823/ea027473901ex10-2_richtech.htm" TargetMode="External"/><Relationship Id="rId32" Type="http://schemas.openxmlformats.org/officeDocument/2006/relationships/hyperlink" Target="http://www.sec.gov/Archives/edgar/data/1963685/000121390026005343/ea027236201ex21_richtech.htm" TargetMode="External"/><Relationship Id="rId33" Type="http://schemas.openxmlformats.org/officeDocument/2006/relationships/hyperlink" Target="https://www.sec.gov/Archives/edgar/data/1963685/000121390026017558/ea027704901ex5-1_richtech.htm" TargetMode="External"/><Relationship Id="rId34" Type="http://schemas.openxmlformats.org/officeDocument/2006/relationships/hyperlink" Target="https://www.sec.gov/ix?doc=/Archives/edgar/data/1963685/000121390026017558/ea027704901ex-fee_richtech.htm" TargetMode="External"/><Relationship Id="rId35" Type="http://schemas.openxmlformats.org/officeDocument/2006/relationships/image" Target="media/image1.jpeg"/><Relationship Id="rId36" Type="http://schemas.openxmlformats.org/officeDocument/2006/relationships/fontTable" Target="fontTable.xml"/><Relationship Id="rId3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2115</Words>
  <Characters>11265</Characters>
  <CharactersWithSpaces>13412</CharactersWithSpaces>
  <Paragraphs>351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