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307887-s8pos_richtech.htm"/>
      <w:bookmarkStart w:id="1" w:name="ksea0307887s8pos_richtech"/>
      <w:bookmarkEnd w:id="0"/>
      <w:bookmarkEnd w:id="1"/>
      <w:r>
        <w:rPr>
          <w:rFonts w:ascii="Times New Roman;Times;Serif" w:hAnsi="Times New Roman;Times;Serif"/>
          <w:b/>
          <w:i w:val="false"/>
          <w:caps w:val="false"/>
          <w:smallCaps w:val="false"/>
          <w:sz w:val="20"/>
        </w:rPr>
        <w:t>As filed with the Securities and Exchange Commission on October 6,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Nos. 333-275975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333-293526</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2 to Form S-8 Registration Statement No. 333-275975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333-293526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RICHTECH ROBOTICS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b/>
                <w:sz w:val="20"/>
              </w:rPr>
            </w:pPr>
            <w:r>
              <w:rPr>
                <w:b/>
                <w:sz w:val="20"/>
              </w:rPr>
              <w:t>Nevada</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r>
              <w:rPr>
                <w:b/>
                <w:sz w:val="20"/>
              </w:rPr>
              <w:t>88-2870106</w:t>
            </w:r>
          </w:p>
        </w:tc>
      </w:tr>
      <w:tr>
        <w:trPr/>
        <w:tc>
          <w:tcPr>
            <w:tcW w:w="2495" w:type="dxa"/>
            <w:tcBorders/>
            <w:tcMar>
              <w:bottom w:w="0" w:type="dxa"/>
            </w:tcMar>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2975 Lincoln Rd,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Las Vegas, NV</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b/>
                <w:sz w:val="20"/>
              </w:rPr>
            </w:pPr>
            <w:r>
              <w:rPr>
                <w:b/>
                <w:sz w:val="20"/>
              </w:rPr>
              <w:t>89115</w:t>
            </w:r>
          </w:p>
        </w:tc>
      </w:tr>
      <w:tr>
        <w:trPr/>
        <w:tc>
          <w:tcPr>
            <w:tcW w:w="32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tbl>
      <w:tblPr>
        <w:tblW w:w="6575" w:type="dxa"/>
        <w:jc w:val="left"/>
        <w:tblInd w:w="0" w:type="dxa"/>
        <w:tblLayout w:type="fixed"/>
        <w:tblCellMar>
          <w:top w:w="0" w:type="dxa"/>
          <w:left w:w="0" w:type="dxa"/>
          <w:bottom w:w="28" w:type="dxa"/>
          <w:right w:w="0" w:type="dxa"/>
        </w:tblCellMar>
      </w:tblPr>
      <w:tblGrid>
        <w:gridCol w:w="6575"/>
      </w:tblGrid>
      <w:tr>
        <w:trPr/>
        <w:tc>
          <w:tcPr>
            <w:tcW w:w="6575" w:type="dxa"/>
            <w:tcBorders>
              <w:bottom w:val="single" w:sz="12" w:space="0" w:color="000000"/>
            </w:tcBorders>
            <w:vAlign w:val="center"/>
          </w:tcPr>
          <w:p>
            <w:pPr>
              <w:pStyle w:val="TableContents"/>
              <w:bidi w:val="0"/>
              <w:spacing w:before="0" w:after="283"/>
              <w:jc w:val="center"/>
              <w:rPr>
                <w:b/>
                <w:sz w:val="20"/>
              </w:rPr>
            </w:pPr>
            <w:r>
              <w:rPr>
                <w:b/>
                <w:sz w:val="20"/>
              </w:rPr>
              <w:t>Second Amended and Restated Richtech Robotics Inc. 2023 Stock Option Plan</w:t>
            </w:r>
          </w:p>
        </w:tc>
      </w:tr>
      <w:tr>
        <w:trPr/>
        <w:tc>
          <w:tcPr>
            <w:tcW w:w="6575" w:type="dxa"/>
            <w:tcBorders/>
            <w:tcMar>
              <w:bottom w:w="0" w:type="dxa"/>
            </w:tcMar>
            <w:vAlign w:val="center"/>
          </w:tcPr>
          <w:p>
            <w:pPr>
              <w:pStyle w:val="TableContents"/>
              <w:bidi w:val="0"/>
              <w:spacing w:before="0" w:after="283"/>
              <w:jc w:val="center"/>
              <w:rPr>
                <w:sz w:val="20"/>
              </w:rPr>
            </w:pPr>
            <w:r>
              <w:rPr>
                <w:sz w:val="20"/>
              </w:rPr>
              <w:t>(Full Title of the Plan)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Zhenwu (Wayne) Huang</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RICHTECH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2975 Lincoln Rd,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Las Vegas, NV 89115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 (866) 236-3835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 copies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Richard I. Anslow, Esq.</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Lijia Sanchez, Esq.</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Ellenoff Grossman &amp; Schole LLP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1345 Avenue of the Americas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10105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Phone: (212) 370-1300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Fax: (212) 370-7889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 xml:space="preserve">Non-accelerated filer </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Richtech Robotics Inc. (the “Registrant,” “we,” “us,” “our,” or similar terminology) previously filed with the Securities and Exchange Commission (the “Commission”) Registration Statements on Form S-8 (File Nos. 333-275975 and 333-293526) (the “Registration Statements”) to register an aggregate of 22,311,215 shares of Class B common stock, par value $0.0001 per share (the “Common Stock”), under the Amended and Restated Richtech Robotics Inc. 2023 Stock Option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to the Registration Statements is being filed principally to file the consent of Bush &amp; Associates CPA LLC (Exhibit 23.1). Except to the extent specified herein, the Registration Statements, as originally filed, are not amended or otherwise affected by this Post-Effective Amendment and the contents thereof are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70"/>
        <w:gridCol w:w="60"/>
        <w:gridCol w:w="9175"/>
      </w:tblGrid>
      <w:tr>
        <w:trPr/>
        <w:tc>
          <w:tcPr>
            <w:tcW w:w="970" w:type="dxa"/>
            <w:tcBorders>
              <w:bottom w:val="single" w:sz="12" w:space="0" w:color="000000"/>
            </w:tcBorders>
            <w:vAlign w:val="center"/>
          </w:tcPr>
          <w:p>
            <w:pPr>
              <w:pStyle w:val="TableContents"/>
              <w:bidi w:val="0"/>
              <w:spacing w:before="0" w:after="283"/>
              <w:jc w:val="left"/>
              <w:rPr>
                <w:b/>
                <w:sz w:val="20"/>
              </w:rPr>
            </w:pPr>
            <w:r>
              <w:rPr>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9175" w:type="dxa"/>
            <w:tcBorders>
              <w:bottom w:val="single" w:sz="12" w:space="0" w:color="000000"/>
            </w:tcBorders>
            <w:vAlign w:val="center"/>
          </w:tcPr>
          <w:p>
            <w:pPr>
              <w:pStyle w:val="TableContents"/>
              <w:bidi w:val="0"/>
              <w:spacing w:before="0" w:after="283"/>
              <w:jc w:val="both"/>
              <w:rPr>
                <w:b/>
                <w:sz w:val="20"/>
              </w:rPr>
            </w:pPr>
            <w:r>
              <w:rPr>
                <w:b/>
                <w:sz w:val="20"/>
              </w:rPr>
              <w:t>Description of Exhibit</w:t>
            </w:r>
          </w:p>
        </w:tc>
      </w:tr>
      <w:tr>
        <w:trPr/>
        <w:tc>
          <w:tcPr>
            <w:tcW w:w="970" w:type="dxa"/>
            <w:tcBorders/>
            <w:shd w:fill="CCEEFF" w:val="clear"/>
            <w:tcMar>
              <w:bottom w:w="0" w:type="dxa"/>
            </w:tcMar>
            <w:vAlign w:val="center"/>
          </w:tcPr>
          <w:p>
            <w:pPr>
              <w:pStyle w:val="TableContents"/>
              <w:bidi w:val="0"/>
              <w:spacing w:before="0" w:after="283"/>
              <w:jc w:val="both"/>
              <w:rPr>
                <w:sz w:val="20"/>
              </w:rPr>
            </w:pPr>
            <w:r>
              <w:rPr>
                <w:sz w:val="20"/>
              </w:rPr>
              <w:t>4.1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75" w:type="dxa"/>
            <w:tcBorders/>
            <w:shd w:fill="CCEEFF" w:val="clear"/>
            <w:tcMar>
              <w:bottom w:w="0" w:type="dxa"/>
            </w:tcMar>
            <w:vAlign w:val="center"/>
          </w:tcPr>
          <w:p>
            <w:pPr>
              <w:pStyle w:val="TableContents"/>
              <w:bidi w:val="0"/>
              <w:spacing w:before="0" w:after="283"/>
              <w:jc w:val="both"/>
              <w:rPr/>
            </w:pPr>
            <w:hyperlink r:id="rId2">
              <w:r>
                <w:rPr>
                  <w:rStyle w:val="InternetLink"/>
                  <w:sz w:val="20"/>
                </w:rPr>
                <w:t>Specimen Class B Common Stock Certificate (Incorporated herein by reference to Exhibit 4.1 filed with the Registrant’s Registration Statement on Form S-1 (File No. 333-273628), as amended, initially filed with the Commission on August 3, 2023)</w:t>
              </w:r>
            </w:hyperlink>
          </w:p>
        </w:tc>
      </w:tr>
      <w:tr>
        <w:trPr/>
        <w:tc>
          <w:tcPr>
            <w:tcW w:w="970" w:type="dxa"/>
            <w:tcBorders/>
            <w:shd w:fill="FFFFFF" w:val="clear"/>
            <w:tcMar>
              <w:bottom w:w="0" w:type="dxa"/>
            </w:tcMar>
            <w:vAlign w:val="center"/>
          </w:tcPr>
          <w:p>
            <w:pPr>
              <w:pStyle w:val="TableContents"/>
              <w:bidi w:val="0"/>
              <w:spacing w:before="0" w:after="283"/>
              <w:jc w:val="both"/>
              <w:rPr>
                <w:sz w:val="20"/>
              </w:rPr>
            </w:pPr>
            <w:r>
              <w:rPr>
                <w:sz w:val="20"/>
              </w:rPr>
              <w:t>4.2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75" w:type="dxa"/>
            <w:tcBorders/>
            <w:shd w:fill="FFFFFF" w:val="clear"/>
            <w:tcMar>
              <w:bottom w:w="0" w:type="dxa"/>
            </w:tcMar>
            <w:vAlign w:val="center"/>
          </w:tcPr>
          <w:p>
            <w:pPr>
              <w:pStyle w:val="TableContents"/>
              <w:bidi w:val="0"/>
              <w:spacing w:before="0" w:after="283"/>
              <w:jc w:val="both"/>
              <w:rPr/>
            </w:pPr>
            <w:hyperlink r:id="rId3">
              <w:r>
                <w:rPr>
                  <w:rStyle w:val="InternetLink"/>
                  <w:sz w:val="20"/>
                </w:rPr>
                <w:t>Second Amended and Restated Articles of Incorporation (Incorporated herein by reference to Exhibit 3.1 filed with the Registrant’s Current Report on Form 8-K filed with the Commission on November 22, 2023)</w:t>
              </w:r>
            </w:hyperlink>
          </w:p>
        </w:tc>
      </w:tr>
      <w:tr>
        <w:trPr/>
        <w:tc>
          <w:tcPr>
            <w:tcW w:w="970" w:type="dxa"/>
            <w:tcBorders/>
            <w:shd w:fill="CCEEFF" w:val="clear"/>
            <w:tcMar>
              <w:bottom w:w="0" w:type="dxa"/>
            </w:tcMar>
            <w:vAlign w:val="center"/>
          </w:tcPr>
          <w:p>
            <w:pPr>
              <w:pStyle w:val="TableContents"/>
              <w:bidi w:val="0"/>
              <w:spacing w:before="0" w:after="283"/>
              <w:jc w:val="both"/>
              <w:rPr>
                <w:sz w:val="20"/>
              </w:rPr>
            </w:pPr>
            <w:r>
              <w:rPr>
                <w:sz w:val="20"/>
              </w:rPr>
              <w:t>4.3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75" w:type="dxa"/>
            <w:tcBorders/>
            <w:shd w:fill="CCEEFF" w:val="clear"/>
            <w:tcMar>
              <w:bottom w:w="0" w:type="dxa"/>
            </w:tcMar>
            <w:vAlign w:val="center"/>
          </w:tcPr>
          <w:p>
            <w:pPr>
              <w:pStyle w:val="TableContents"/>
              <w:bidi w:val="0"/>
              <w:spacing w:before="0" w:after="283"/>
              <w:jc w:val="both"/>
              <w:rPr/>
            </w:pPr>
            <w:hyperlink r:id="rId4">
              <w:r>
                <w:rPr>
                  <w:rStyle w:val="InternetLink"/>
                  <w:sz w:val="20"/>
                </w:rPr>
                <w:t>Articles of Amendment to Articles of Incorporation of Richtech Robotics Inc. (Incorporated herein by reference to Exhibit 3.1 filed with the Registrant’s Current Report on Form 8-K filed with the Commission on November 17, 2025)</w:t>
              </w:r>
            </w:hyperlink>
          </w:p>
        </w:tc>
      </w:tr>
      <w:tr>
        <w:trPr/>
        <w:tc>
          <w:tcPr>
            <w:tcW w:w="970" w:type="dxa"/>
            <w:tcBorders/>
            <w:shd w:fill="FFFFFF" w:val="clear"/>
            <w:tcMar>
              <w:bottom w:w="0" w:type="dxa"/>
            </w:tcMar>
            <w:vAlign w:val="center"/>
          </w:tcPr>
          <w:p>
            <w:pPr>
              <w:pStyle w:val="TableContents"/>
              <w:bidi w:val="0"/>
              <w:spacing w:before="0" w:after="283"/>
              <w:jc w:val="both"/>
              <w:rPr>
                <w:sz w:val="20"/>
              </w:rPr>
            </w:pPr>
            <w:r>
              <w:rPr>
                <w:sz w:val="20"/>
              </w:rPr>
              <w:t>4.4</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75" w:type="dxa"/>
            <w:tcBorders/>
            <w:shd w:fill="FFFFFF" w:val="clear"/>
            <w:tcMar>
              <w:bottom w:w="0" w:type="dxa"/>
            </w:tcMar>
            <w:vAlign w:val="center"/>
          </w:tcPr>
          <w:p>
            <w:pPr>
              <w:pStyle w:val="TableContents"/>
              <w:bidi w:val="0"/>
              <w:spacing w:before="0" w:after="283"/>
              <w:jc w:val="both"/>
              <w:rPr/>
            </w:pPr>
            <w:hyperlink r:id="rId5">
              <w:r>
                <w:rPr>
                  <w:rStyle w:val="InternetLink"/>
                  <w:sz w:val="20"/>
                </w:rPr>
                <w:t>Second Amended and Restated Bylaws (Incorporated herein by reference to Exhibit 3.3 in the Company’s Annual Report on Form 10-K for the year ended September 30, 2023, filed with the SEC on January 11, 2024)</w:t>
              </w:r>
            </w:hyperlink>
          </w:p>
        </w:tc>
      </w:tr>
      <w:tr>
        <w:trPr/>
        <w:tc>
          <w:tcPr>
            <w:tcW w:w="970" w:type="dxa"/>
            <w:tcBorders/>
            <w:shd w:fill="CCEEFF" w:val="clear"/>
            <w:tcMar>
              <w:bottom w:w="0" w:type="dxa"/>
            </w:tcMar>
            <w:vAlign w:val="center"/>
          </w:tcPr>
          <w:p>
            <w:pPr>
              <w:pStyle w:val="TableContents"/>
              <w:bidi w:val="0"/>
              <w:spacing w:before="0" w:after="283"/>
              <w:jc w:val="both"/>
              <w:rPr>
                <w:sz w:val="20"/>
              </w:rPr>
            </w:pPr>
            <w:r>
              <w:rPr>
                <w:sz w:val="20"/>
              </w:rPr>
              <w:t>5.1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75" w:type="dxa"/>
            <w:tcBorders/>
            <w:shd w:fill="CCEEFF" w:val="clear"/>
            <w:tcMar>
              <w:bottom w:w="0" w:type="dxa"/>
            </w:tcMar>
            <w:vAlign w:val="center"/>
          </w:tcPr>
          <w:p>
            <w:pPr>
              <w:pStyle w:val="TableContents"/>
              <w:bidi w:val="0"/>
              <w:spacing w:before="0" w:after="283"/>
              <w:jc w:val="both"/>
              <w:rPr/>
            </w:pPr>
            <w:hyperlink r:id="rId6">
              <w:r>
                <w:rPr>
                  <w:rStyle w:val="InternetLink"/>
                  <w:sz w:val="20"/>
                </w:rPr>
                <w:t>Opinion of Fennemore Craig, P.C.Opinion of Fennemore Craig, P.C. (Incorporated herein by reference to Exhibit 5.1 filed with the Registrant’s Registration Statement on Form S-8 (File No. 333-293526) filed with the Commission on February 17, 2026)</w:t>
              </w:r>
            </w:hyperlink>
          </w:p>
        </w:tc>
      </w:tr>
      <w:tr>
        <w:trPr/>
        <w:tc>
          <w:tcPr>
            <w:tcW w:w="970" w:type="dxa"/>
            <w:tcBorders/>
            <w:shd w:fill="FFFFFF" w:val="clear"/>
            <w:tcMar>
              <w:bottom w:w="0" w:type="dxa"/>
            </w:tcMar>
            <w:vAlign w:val="center"/>
          </w:tcPr>
          <w:p>
            <w:pPr>
              <w:pStyle w:val="TableContents"/>
              <w:bidi w:val="0"/>
              <w:spacing w:before="0" w:after="283"/>
              <w:jc w:val="both"/>
              <w:rPr/>
            </w:pPr>
            <w:r>
              <w:rPr/>
              <w:t>5.2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75" w:type="dxa"/>
            <w:tcBorders/>
            <w:shd w:fill="FFFFFF" w:val="clear"/>
            <w:tcMar>
              <w:bottom w:w="0" w:type="dxa"/>
            </w:tcMar>
            <w:vAlign w:val="center"/>
          </w:tcPr>
          <w:p>
            <w:pPr>
              <w:pStyle w:val="TableContents"/>
              <w:bidi w:val="0"/>
              <w:spacing w:before="0" w:after="283"/>
              <w:jc w:val="both"/>
              <w:rPr/>
            </w:pPr>
            <w:hyperlink r:id="rId7">
              <w:r>
                <w:rPr>
                  <w:rStyle w:val="InternetLink"/>
                </w:rPr>
                <w:t>Opinion of Fennemore Craig, P.C. (Incorporated herein by reference to Exhibit 5.1 filed with the Registrant’s Registration Statement on Form S-8 (File No. 333-275975), as amended, initially filed with the Commission on December 11, 2023)</w:t>
              </w:r>
            </w:hyperlink>
          </w:p>
        </w:tc>
      </w:tr>
      <w:tr>
        <w:trPr/>
        <w:tc>
          <w:tcPr>
            <w:tcW w:w="970" w:type="dxa"/>
            <w:tcBorders/>
            <w:shd w:fill="CCEEFF" w:val="clear"/>
            <w:tcMar>
              <w:bottom w:w="0" w:type="dxa"/>
            </w:tcMar>
            <w:vAlign w:val="center"/>
          </w:tcPr>
          <w:p>
            <w:pPr>
              <w:pStyle w:val="TableContents"/>
              <w:bidi w:val="0"/>
              <w:spacing w:before="0" w:after="283"/>
              <w:jc w:val="both"/>
              <w:rPr>
                <w:sz w:val="20"/>
              </w:rPr>
            </w:pPr>
            <w:r>
              <w:rPr>
                <w:sz w:val="20"/>
              </w:rPr>
              <w:t>23.1*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75" w:type="dxa"/>
            <w:tcBorders/>
            <w:shd w:fill="CCEEFF" w:val="clear"/>
            <w:tcMar>
              <w:bottom w:w="0" w:type="dxa"/>
            </w:tcMar>
            <w:vAlign w:val="center"/>
          </w:tcPr>
          <w:p>
            <w:pPr>
              <w:pStyle w:val="TableContents"/>
              <w:bidi w:val="0"/>
              <w:spacing w:before="0" w:after="283"/>
              <w:jc w:val="both"/>
              <w:rPr/>
            </w:pPr>
            <w:hyperlink w:anchor="ea030788701ex23-1.htm">
              <w:r>
                <w:rPr>
                  <w:rStyle w:val="InternetLink"/>
                  <w:sz w:val="20"/>
                </w:rPr>
                <w:t>Consent of Bush &amp; Associates CPA, Independent Registered Public Accounting Firm</w:t>
              </w:r>
            </w:hyperlink>
          </w:p>
        </w:tc>
      </w:tr>
      <w:tr>
        <w:trPr/>
        <w:tc>
          <w:tcPr>
            <w:tcW w:w="970" w:type="dxa"/>
            <w:tcBorders/>
            <w:shd w:fill="FFFFFF" w:val="clear"/>
            <w:tcMar>
              <w:bottom w:w="0" w:type="dxa"/>
            </w:tcMar>
            <w:vAlign w:val="center"/>
          </w:tcPr>
          <w:p>
            <w:pPr>
              <w:pStyle w:val="TableContents"/>
              <w:bidi w:val="0"/>
              <w:spacing w:before="0" w:after="283"/>
              <w:jc w:val="both"/>
              <w:rPr>
                <w:sz w:val="20"/>
              </w:rPr>
            </w:pPr>
            <w:r>
              <w:rPr>
                <w:sz w:val="20"/>
              </w:rPr>
              <w:t>23.2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75" w:type="dxa"/>
            <w:tcBorders/>
            <w:shd w:fill="FFFFFF" w:val="clear"/>
            <w:tcMar>
              <w:bottom w:w="0" w:type="dxa"/>
            </w:tcMar>
            <w:vAlign w:val="center"/>
          </w:tcPr>
          <w:p>
            <w:pPr>
              <w:pStyle w:val="TableContents"/>
              <w:bidi w:val="0"/>
              <w:spacing w:before="0" w:after="283"/>
              <w:jc w:val="both"/>
              <w:rPr/>
            </w:pPr>
            <w:hyperlink r:id="rId8">
              <w:r>
                <w:rPr>
                  <w:rStyle w:val="InternetLink"/>
                  <w:sz w:val="20"/>
                </w:rPr>
                <w:t>Consent of Fennemore Craig, P.C. (included in Exhibits 5.1)</w:t>
              </w:r>
            </w:hyperlink>
          </w:p>
        </w:tc>
      </w:tr>
      <w:tr>
        <w:trPr/>
        <w:tc>
          <w:tcPr>
            <w:tcW w:w="970" w:type="dxa"/>
            <w:tcBorders/>
            <w:shd w:fill="CCEEFF" w:val="clear"/>
            <w:tcMar>
              <w:bottom w:w="0" w:type="dxa"/>
            </w:tcMar>
            <w:vAlign w:val="center"/>
          </w:tcPr>
          <w:p>
            <w:pPr>
              <w:pStyle w:val="TableContents"/>
              <w:bidi w:val="0"/>
              <w:spacing w:before="0" w:after="283"/>
              <w:jc w:val="both"/>
              <w:rPr/>
            </w:pPr>
            <w:r>
              <w:rPr/>
              <w:t>23.3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75" w:type="dxa"/>
            <w:tcBorders/>
            <w:shd w:fill="CCEEFF" w:val="clear"/>
            <w:tcMar>
              <w:bottom w:w="0" w:type="dxa"/>
            </w:tcMar>
            <w:vAlign w:val="center"/>
          </w:tcPr>
          <w:p>
            <w:pPr>
              <w:pStyle w:val="TableContents"/>
              <w:bidi w:val="0"/>
              <w:spacing w:before="0" w:after="283"/>
              <w:jc w:val="both"/>
              <w:rPr/>
            </w:pPr>
            <w:hyperlink r:id="rId9">
              <w:r>
                <w:rPr>
                  <w:rStyle w:val="InternetLink"/>
                </w:rPr>
                <w:t>Consent of Fennemore Craig, P.C. (included in Exhibits 5.2)</w:t>
              </w:r>
            </w:hyperlink>
          </w:p>
        </w:tc>
      </w:tr>
      <w:tr>
        <w:trPr/>
        <w:tc>
          <w:tcPr>
            <w:tcW w:w="970" w:type="dxa"/>
            <w:tcBorders/>
            <w:shd w:fill="FFFFFF" w:val="clear"/>
            <w:tcMar>
              <w:bottom w:w="0" w:type="dxa"/>
            </w:tcMar>
            <w:vAlign w:val="center"/>
          </w:tcPr>
          <w:p>
            <w:pPr>
              <w:pStyle w:val="TableContents"/>
              <w:bidi w:val="0"/>
              <w:spacing w:before="0" w:after="283"/>
              <w:jc w:val="both"/>
              <w:rPr>
                <w:sz w:val="20"/>
              </w:rPr>
            </w:pPr>
            <w:r>
              <w:rPr>
                <w:sz w:val="20"/>
              </w:rPr>
              <w:t>24.1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75" w:type="dxa"/>
            <w:tcBorders/>
            <w:shd w:fill="FFFFFF" w:val="clear"/>
            <w:tcMar>
              <w:bottom w:w="0" w:type="dxa"/>
            </w:tcMar>
            <w:vAlign w:val="center"/>
          </w:tcPr>
          <w:p>
            <w:pPr>
              <w:pStyle w:val="TableContents"/>
              <w:bidi w:val="0"/>
              <w:spacing w:before="0" w:after="283"/>
              <w:jc w:val="both"/>
              <w:rPr/>
            </w:pPr>
            <w:r>
              <w:fldChar w:fldCharType="begin"/>
            </w:r>
            <w:r>
              <w:rPr>
                <w:rStyle w:val="InternetLink"/>
                <w:sz w:val="20"/>
              </w:rPr>
              <w:instrText xml:space="preserve"> HYPERLINK "https://www.sec.gov/Archives/edgar/data/1963685/000121390026017445/ea0277126-s8_richtech.htm" \l "poa_001"</w:instrText>
            </w:r>
            <w:r>
              <w:rPr>
                <w:rStyle w:val="InternetLink"/>
                <w:sz w:val="20"/>
              </w:rPr>
              <w:fldChar w:fldCharType="separate"/>
            </w:r>
            <w:r>
              <w:rPr>
                <w:rStyle w:val="InternetLink"/>
                <w:sz w:val="20"/>
              </w:rPr>
              <w:t>Powers of Attorney (included on the signature page of the Registration Statement (File No. 333-293526) on Form S-8 filed with the Commission on February 17, 2026)</w:t>
            </w:r>
            <w:r>
              <w:rPr>
                <w:rStyle w:val="InternetLink"/>
                <w:sz w:val="20"/>
              </w:rPr>
              <w:fldChar w:fldCharType="end"/>
            </w:r>
          </w:p>
        </w:tc>
      </w:tr>
      <w:tr>
        <w:trPr/>
        <w:tc>
          <w:tcPr>
            <w:tcW w:w="970" w:type="dxa"/>
            <w:tcBorders/>
            <w:shd w:fill="CCEEFF" w:val="clear"/>
            <w:tcMar>
              <w:bottom w:w="0" w:type="dxa"/>
            </w:tcMar>
            <w:vAlign w:val="center"/>
          </w:tcPr>
          <w:p>
            <w:pPr>
              <w:pStyle w:val="TableContents"/>
              <w:bidi w:val="0"/>
              <w:spacing w:before="0" w:after="283"/>
              <w:jc w:val="both"/>
              <w:rPr>
                <w:sz w:val="20"/>
              </w:rPr>
            </w:pPr>
            <w:r>
              <w:rPr>
                <w:sz w:val="20"/>
              </w:rPr>
              <w:t>24.2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75" w:type="dxa"/>
            <w:tcBorders/>
            <w:shd w:fill="CCEEFF" w:val="clear"/>
            <w:tcMar>
              <w:bottom w:w="0" w:type="dxa"/>
            </w:tcMar>
            <w:vAlign w:val="center"/>
          </w:tcPr>
          <w:p>
            <w:pPr>
              <w:pStyle w:val="TableContents"/>
              <w:bidi w:val="0"/>
              <w:spacing w:before="0" w:after="283"/>
              <w:jc w:val="both"/>
              <w:rPr/>
            </w:pPr>
            <w:r>
              <w:fldChar w:fldCharType="begin"/>
            </w:r>
            <w:r>
              <w:rPr>
                <w:rStyle w:val="InternetLink"/>
                <w:sz w:val="20"/>
              </w:rPr>
              <w:instrText xml:space="preserve"> HYPERLINK "https://www.sec.gov/Archives/edgar/data/1963685/000121390023094481/ea189722-s8_richtech.htm" \l "poa"</w:instrText>
            </w:r>
            <w:r>
              <w:rPr>
                <w:rStyle w:val="InternetLink"/>
                <w:sz w:val="20"/>
              </w:rPr>
              <w:fldChar w:fldCharType="separate"/>
            </w:r>
            <w:r>
              <w:rPr>
                <w:rStyle w:val="InternetLink"/>
                <w:sz w:val="20"/>
              </w:rPr>
              <w:t>Powers of Attorney (included on the signature page of the Registration Statement (File No. 333-275975) on Form S-8 filed with the Commission on December 11, 2023)</w:t>
            </w:r>
            <w:r>
              <w:rPr>
                <w:rStyle w:val="InternetLink"/>
                <w:sz w:val="20"/>
              </w:rPr>
              <w:fldChar w:fldCharType="end"/>
            </w:r>
          </w:p>
        </w:tc>
      </w:tr>
      <w:tr>
        <w:trPr/>
        <w:tc>
          <w:tcPr>
            <w:tcW w:w="970" w:type="dxa"/>
            <w:tcBorders/>
            <w:shd w:fill="FFFFFF" w:val="clear"/>
            <w:tcMar>
              <w:bottom w:w="0" w:type="dxa"/>
            </w:tcMar>
            <w:vAlign w:val="center"/>
          </w:tcPr>
          <w:p>
            <w:pPr>
              <w:pStyle w:val="TableContents"/>
              <w:bidi w:val="0"/>
              <w:spacing w:before="0" w:after="283"/>
              <w:jc w:val="both"/>
              <w:rPr>
                <w:sz w:val="20"/>
              </w:rPr>
            </w:pPr>
            <w:r>
              <w:rPr>
                <w:sz w:val="20"/>
              </w:rPr>
              <w:t>99.1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75" w:type="dxa"/>
            <w:tcBorders/>
            <w:shd w:fill="FFFFFF" w:val="clear"/>
            <w:tcMar>
              <w:bottom w:w="0" w:type="dxa"/>
            </w:tcMar>
            <w:vAlign w:val="center"/>
          </w:tcPr>
          <w:p>
            <w:pPr>
              <w:pStyle w:val="TableContents"/>
              <w:bidi w:val="0"/>
              <w:spacing w:before="0" w:after="283"/>
              <w:jc w:val="both"/>
              <w:rPr/>
            </w:pPr>
            <w:hyperlink r:id="rId10">
              <w:r>
                <w:rPr>
                  <w:rStyle w:val="InternetLink"/>
                  <w:sz w:val="20"/>
                </w:rPr>
                <w:t>Amended and Restated Richtech Robotics Inc. 2023 Stock Option Plan (Incorporated herein by reference to Exhibit 10.1 filed with the Registrant’s Current Report on Form 8-K filed with the Commission on November 17, 2025)</w:t>
              </w:r>
            </w:hyperlink>
          </w:p>
        </w:tc>
      </w:tr>
      <w:tr>
        <w:trPr/>
        <w:tc>
          <w:tcPr>
            <w:tcW w:w="970" w:type="dxa"/>
            <w:tcBorders/>
            <w:shd w:fill="CCEEFF" w:val="clear"/>
            <w:tcMar>
              <w:bottom w:w="0" w:type="dxa"/>
            </w:tcMar>
            <w:vAlign w:val="center"/>
          </w:tcPr>
          <w:p>
            <w:pPr>
              <w:pStyle w:val="TableContents"/>
              <w:bidi w:val="0"/>
              <w:spacing w:before="0" w:after="283"/>
              <w:jc w:val="both"/>
              <w:rPr>
                <w:sz w:val="20"/>
              </w:rPr>
            </w:pPr>
            <w:r>
              <w:rPr>
                <w:sz w:val="20"/>
              </w:rPr>
              <w:t>99.2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75" w:type="dxa"/>
            <w:tcBorders/>
            <w:shd w:fill="CCEEFF" w:val="clear"/>
            <w:tcMar>
              <w:bottom w:w="0" w:type="dxa"/>
            </w:tcMar>
            <w:vAlign w:val="center"/>
          </w:tcPr>
          <w:p>
            <w:pPr>
              <w:pStyle w:val="TableContents"/>
              <w:bidi w:val="0"/>
              <w:spacing w:before="0" w:after="283"/>
              <w:jc w:val="both"/>
              <w:rPr/>
            </w:pPr>
            <w:hyperlink r:id="rId11">
              <w:r>
                <w:rPr>
                  <w:rStyle w:val="InternetLink"/>
                  <w:sz w:val="20"/>
                </w:rPr>
                <w:t>Form of Stock Option Agreement (Incorporated herein by reference to Exhibit 10.7 filed with the Registrant’s Registration Statement on Form S-1 (File No. 333-273628), as amended, initially filed with the Commission on August 3, 2023)</w:t>
              </w:r>
            </w:hyperlink>
          </w:p>
        </w:tc>
      </w:tr>
      <w:tr>
        <w:trPr/>
        <w:tc>
          <w:tcPr>
            <w:tcW w:w="970" w:type="dxa"/>
            <w:tcBorders/>
            <w:shd w:fill="FFFFFF" w:val="clear"/>
            <w:tcMar>
              <w:bottom w:w="0" w:type="dxa"/>
            </w:tcMar>
            <w:vAlign w:val="center"/>
          </w:tcPr>
          <w:p>
            <w:pPr>
              <w:pStyle w:val="TableContents"/>
              <w:bidi w:val="0"/>
              <w:spacing w:before="0" w:after="283"/>
              <w:jc w:val="both"/>
              <w:rPr>
                <w:sz w:val="20"/>
              </w:rPr>
            </w:pPr>
            <w:r>
              <w:rPr>
                <w:sz w:val="20"/>
              </w:rPr>
              <w:t>99.3</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75" w:type="dxa"/>
            <w:tcBorders/>
            <w:shd w:fill="FFFFFF" w:val="clear"/>
            <w:tcMar>
              <w:bottom w:w="0" w:type="dxa"/>
            </w:tcMar>
            <w:vAlign w:val="center"/>
          </w:tcPr>
          <w:p>
            <w:pPr>
              <w:pStyle w:val="TableContents"/>
              <w:bidi w:val="0"/>
              <w:spacing w:before="0" w:after="283"/>
              <w:jc w:val="both"/>
              <w:rPr/>
            </w:pPr>
            <w:hyperlink r:id="rId12">
              <w:r>
                <w:rPr>
                  <w:rStyle w:val="InternetLink"/>
                  <w:sz w:val="20"/>
                </w:rPr>
                <w:t>Form of Stock Purchase Agreement (Incorporated herein by reference to Exhibit 10.8 filed with the Registrant’s Registration Statement on Form S-1 (File No. 333-273628), as amended, initially filed with the Commission on August 3, 2023)</w:t>
              </w:r>
            </w:hyperlink>
          </w:p>
        </w:tc>
      </w:tr>
      <w:tr>
        <w:trPr/>
        <w:tc>
          <w:tcPr>
            <w:tcW w:w="970" w:type="dxa"/>
            <w:tcBorders/>
            <w:shd w:fill="CCEEFF" w:val="clear"/>
            <w:tcMar>
              <w:bottom w:w="0" w:type="dxa"/>
            </w:tcMar>
            <w:vAlign w:val="center"/>
          </w:tcPr>
          <w:p>
            <w:pPr>
              <w:pStyle w:val="TableContents"/>
              <w:bidi w:val="0"/>
              <w:spacing w:before="0" w:after="283"/>
              <w:jc w:val="left"/>
              <w:rPr>
                <w:sz w:val="20"/>
              </w:rPr>
            </w:pPr>
            <w:r>
              <w:rPr>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75" w:type="dxa"/>
            <w:tcBorders/>
            <w:shd w:fill="CCEEFF" w:val="clear"/>
            <w:tcMar>
              <w:bottom w:w="0" w:type="dxa"/>
            </w:tcMar>
            <w:vAlign w:val="center"/>
          </w:tcPr>
          <w:p>
            <w:pPr>
              <w:pStyle w:val="TableContents"/>
              <w:bidi w:val="0"/>
              <w:spacing w:before="0" w:after="283"/>
              <w:jc w:val="both"/>
              <w:rPr/>
            </w:pPr>
            <w:hyperlink r:id="rId13">
              <w:r>
                <w:rPr>
                  <w:rStyle w:val="InternetLink"/>
                  <w:sz w:val="20"/>
                </w:rPr>
                <w:t>Filing Fee Table (Incorporated herein by reference to Exhibit 107 filed with the Registrant’s Registration Statement on Form S-8 (File No. 333-293526) filed with the Commission on February 17, 2026)</w:t>
              </w:r>
            </w:hyperlink>
          </w:p>
        </w:tc>
      </w:tr>
      <w:tr>
        <w:trPr/>
        <w:tc>
          <w:tcPr>
            <w:tcW w:w="970" w:type="dxa"/>
            <w:tcBorders/>
            <w:shd w:fill="FFFFFF" w:val="clear"/>
            <w:tcMar>
              <w:bottom w:w="0" w:type="dxa"/>
            </w:tcMar>
            <w:vAlign w:val="center"/>
          </w:tcPr>
          <w:p>
            <w:pPr>
              <w:pStyle w:val="TableContents"/>
              <w:bidi w:val="0"/>
              <w:spacing w:before="0" w:after="283"/>
              <w:jc w:val="left"/>
              <w:rPr/>
            </w:pPr>
            <w:r>
              <w:rPr/>
              <w:t>108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75" w:type="dxa"/>
            <w:tcBorders/>
            <w:shd w:fill="FFFFFF" w:val="clear"/>
            <w:tcMar>
              <w:bottom w:w="0" w:type="dxa"/>
            </w:tcMar>
            <w:vAlign w:val="center"/>
          </w:tcPr>
          <w:p>
            <w:pPr>
              <w:pStyle w:val="TableContents"/>
              <w:bidi w:val="0"/>
              <w:spacing w:before="0" w:after="283"/>
              <w:jc w:val="both"/>
              <w:rPr/>
            </w:pPr>
            <w:hyperlink r:id="rId14">
              <w:r>
                <w:rPr>
                  <w:rStyle w:val="InternetLink"/>
                </w:rPr>
                <w:t>Filing Fee Table (Incorporated herein by reference to Exhibit 107 filed with the Registrant’s Registration Statement on Form S-8 (File No. 333-275975), as amended, initially filed with the Commission on December 11, 2023)</w:t>
              </w:r>
            </w:hyperlink>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140"/>
        <w:gridCol w:w="2225"/>
      </w:tblGrid>
      <w:tr>
        <w:trPr/>
        <w:tc>
          <w:tcPr>
            <w:tcW w:w="140" w:type="dxa"/>
            <w:tcBorders/>
            <w:vAlign w:val="center"/>
          </w:tcPr>
          <w:p>
            <w:pPr>
              <w:pStyle w:val="TableContents"/>
              <w:bidi w:val="0"/>
              <w:spacing w:before="0" w:after="283"/>
              <w:jc w:val="left"/>
              <w:rPr>
                <w:sz w:val="20"/>
              </w:rPr>
            </w:pPr>
            <w:r>
              <w:rPr>
                <w:sz w:val="20"/>
              </w:rPr>
              <w:t>*</w:t>
            </w:r>
          </w:p>
        </w:tc>
        <w:tc>
          <w:tcPr>
            <w:tcW w:w="2225" w:type="dxa"/>
            <w:tcBorders/>
            <w:vAlign w:val="center"/>
          </w:tcPr>
          <w:p>
            <w:pPr>
              <w:pStyle w:val="TableContents"/>
              <w:bidi w:val="0"/>
              <w:spacing w:before="0" w:after="283"/>
              <w:jc w:val="both"/>
              <w:rPr>
                <w:sz w:val="20"/>
              </w:rPr>
            </w:pPr>
            <w:r>
              <w:rPr>
                <w:sz w:val="20"/>
              </w:rPr>
              <w:t>Filed or furnished herewith</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has duly caused this registration statement to be signed on its behalf by the undersigned, thereunto duly authorized on October 6, 2026.</w:t>
      </w:r>
    </w:p>
    <w:p>
      <w:pPr>
        <w:pStyle w:val="TextBody"/>
        <w:bidi w:val="0"/>
        <w:spacing w:before="0" w:after="0"/>
        <w:ind w:left="0" w:right="0" w:firstLine="72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75"/>
        <w:gridCol w:w="320"/>
        <w:gridCol w:w="2420"/>
      </w:tblGrid>
      <w:tr>
        <w:trPr/>
        <w:tc>
          <w:tcPr>
            <w:tcW w:w="75" w:type="dxa"/>
            <w:tcBorders/>
            <w:vAlign w:val="center"/>
          </w:tcPr>
          <w:p>
            <w:pPr>
              <w:pStyle w:val="TableContents"/>
              <w:bidi w:val="0"/>
              <w:spacing w:before="0" w:after="283"/>
              <w:jc w:val="left"/>
              <w:rPr/>
            </w:pPr>
            <w:r>
              <w:rPr/>
              <w:t> </w:t>
            </w:r>
          </w:p>
        </w:tc>
        <w:tc>
          <w:tcPr>
            <w:tcW w:w="2740" w:type="dxa"/>
            <w:gridSpan w:val="2"/>
            <w:tcBorders/>
            <w:vAlign w:val="center"/>
          </w:tcPr>
          <w:p>
            <w:pPr>
              <w:pStyle w:val="TableContents"/>
              <w:bidi w:val="0"/>
              <w:spacing w:before="0" w:after="283"/>
              <w:jc w:val="left"/>
              <w:rPr>
                <w:b/>
                <w:sz w:val="20"/>
              </w:rPr>
            </w:pPr>
            <w:r>
              <w:rPr>
                <w:b/>
                <w:sz w:val="20"/>
              </w:rPr>
              <w:t>RICHTECH ROBOTICS INC.</w:t>
            </w:r>
          </w:p>
        </w:tc>
      </w:tr>
      <w:tr>
        <w:trPr/>
        <w:tc>
          <w:tcPr>
            <w:tcW w:w="75" w:type="dxa"/>
            <w:tcBorders/>
            <w:vAlign w:val="center"/>
          </w:tcPr>
          <w:p>
            <w:pPr>
              <w:pStyle w:val="TableContents"/>
              <w:bidi w:val="0"/>
              <w:spacing w:before="0" w:after="283"/>
              <w:jc w:val="left"/>
              <w:rPr/>
            </w:pPr>
            <w:r>
              <w:rPr/>
              <w:t> </w:t>
            </w:r>
          </w:p>
        </w:tc>
        <w:tc>
          <w:tcPr>
            <w:tcW w:w="27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420"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Zhenwu Huang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20"/>
              </w:rPr>
            </w:pPr>
            <w:r>
              <w:rPr>
                <w:sz w:val="20"/>
              </w:rPr>
              <w:t>Zhenwu Huang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Chief Executive Officer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shd w:fill="FFFFFF" w:val="clear"/>
        <w:bidi w:val="0"/>
        <w:spacing w:before="0" w:after="0"/>
        <w:ind w:left="0" w:right="0" w:firstLine="480"/>
        <w:jc w:val="both"/>
        <w:rPr>
          <w:caps w:val="false"/>
          <w:smallCaps w:val="false"/>
        </w:rPr>
      </w:pPr>
      <w:r>
        <w:rPr>
          <w:caps w:val="false"/>
          <w:smallCaps w:val="false"/>
        </w:rPr>
        <w:t> </w:t>
      </w:r>
    </w:p>
    <w:tbl>
      <w:tblPr>
        <w:tblW w:w="7995" w:type="dxa"/>
        <w:jc w:val="left"/>
        <w:tblInd w:w="0" w:type="dxa"/>
        <w:tblLayout w:type="fixed"/>
        <w:tblCellMar>
          <w:top w:w="0" w:type="dxa"/>
          <w:left w:w="0" w:type="dxa"/>
          <w:bottom w:w="28" w:type="dxa"/>
          <w:right w:w="0" w:type="dxa"/>
        </w:tblCellMar>
      </w:tblPr>
      <w:tblGrid>
        <w:gridCol w:w="2045"/>
        <w:gridCol w:w="60"/>
        <w:gridCol w:w="4250"/>
        <w:gridCol w:w="60"/>
        <w:gridCol w:w="1580"/>
      </w:tblGrid>
      <w:tr>
        <w:trPr/>
        <w:tc>
          <w:tcPr>
            <w:tcW w:w="204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Signature</w:t>
            </w:r>
          </w:p>
        </w:tc>
        <w:tc>
          <w:tcPr>
            <w:tcW w:w="60" w:type="dxa"/>
            <w:tcBorders/>
            <w:tcMar>
              <w:bottom w:w="0" w:type="dxa"/>
            </w:tcMar>
            <w:vAlign w:val="center"/>
          </w:tcPr>
          <w:p>
            <w:pPr>
              <w:pStyle w:val="TableContents"/>
              <w:bidi w:val="0"/>
              <w:spacing w:before="0" w:after="283"/>
              <w:jc w:val="center"/>
              <w:rPr/>
            </w:pPr>
            <w:r>
              <w:rPr/>
              <w:t> </w:t>
            </w:r>
          </w:p>
        </w:tc>
        <w:tc>
          <w:tcPr>
            <w:tcW w:w="425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Position</w:t>
            </w:r>
          </w:p>
        </w:tc>
        <w:tc>
          <w:tcPr>
            <w:tcW w:w="60" w:type="dxa"/>
            <w:tcBorders/>
            <w:tcMar>
              <w:bottom w:w="0" w:type="dxa"/>
            </w:tcMar>
            <w:vAlign w:val="center"/>
          </w:tcPr>
          <w:p>
            <w:pPr>
              <w:pStyle w:val="TableContents"/>
              <w:bidi w:val="0"/>
              <w:spacing w:before="0" w:after="283"/>
              <w:jc w:val="center"/>
              <w:rPr/>
            </w:pPr>
            <w:r>
              <w:rPr/>
              <w:t> </w:t>
            </w:r>
          </w:p>
        </w:tc>
        <w:tc>
          <w:tcPr>
            <w:tcW w:w="158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Date</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045" w:type="dxa"/>
            <w:tcBorders>
              <w:bottom w:val="single" w:sz="12" w:space="0" w:color="000000"/>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Zhenwu Huang</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Chief Executive Officer and Director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October 6, 2026</w:t>
            </w:r>
          </w:p>
        </w:tc>
      </w:tr>
      <w:tr>
        <w:trPr/>
        <w:tc>
          <w:tcPr>
            <w:tcW w:w="204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Zhenwu Huang</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045" w:type="dxa"/>
            <w:tcBorders>
              <w:bottom w:val="single" w:sz="12" w:space="0" w:color="000000"/>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Zhenqiang Huang</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 and Director</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October 6, 2026</w:t>
            </w:r>
          </w:p>
        </w:tc>
      </w:tr>
      <w:tr>
        <w:trPr/>
        <w:tc>
          <w:tcPr>
            <w:tcW w:w="204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Zhenqiang Huang</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045"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October 6, 2026</w:t>
            </w:r>
          </w:p>
        </w:tc>
      </w:tr>
      <w:tr>
        <w:trPr/>
        <w:tc>
          <w:tcPr>
            <w:tcW w:w="204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John Shigley</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045"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October 6, 2026</w:t>
            </w:r>
          </w:p>
        </w:tc>
      </w:tr>
      <w:tr>
        <w:trPr/>
        <w:tc>
          <w:tcPr>
            <w:tcW w:w="204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Stephen Markscheid</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r>
        <w:trPr/>
        <w:tc>
          <w:tcPr>
            <w:tcW w:w="2045" w:type="dxa"/>
            <w:tcBorders>
              <w:bottom w:val="single" w:sz="12"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October 6, 2026</w:t>
            </w:r>
          </w:p>
        </w:tc>
      </w:tr>
      <w:tr>
        <w:trPr/>
        <w:tc>
          <w:tcPr>
            <w:tcW w:w="204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Saul Factor</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25"/>
        <w:gridCol w:w="1760"/>
        <w:gridCol w:w="75"/>
      </w:tblGrid>
      <w:tr>
        <w:trPr/>
        <w:tc>
          <w:tcPr>
            <w:tcW w:w="7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By:  </w:t>
            </w:r>
          </w:p>
        </w:tc>
        <w:tc>
          <w:tcPr>
            <w:tcW w:w="17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w:t>
            </w:r>
            <w:r>
              <w:rPr>
                <w:rFonts w:ascii="Times New Roman;Times;Serif" w:hAnsi="Times New Roman;Times;Serif"/>
                <w:i/>
              </w:rPr>
              <w:t>Zhenwu</w:t>
            </w:r>
            <w:r>
              <w:rPr>
                <w:rFonts w:ascii="Times New Roman;Times;Serif" w:hAnsi="Times New Roman;Times;Serif"/>
              </w:rPr>
              <w:t xml:space="preserve"> Huang</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Name: </w:t>
            </w:r>
          </w:p>
        </w:tc>
        <w:tc>
          <w:tcPr>
            <w:tcW w:w="17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Zhenwu Huang </w:t>
            </w:r>
          </w:p>
        </w:tc>
        <w:tc>
          <w:tcPr>
            <w:tcW w:w="75" w:type="dxa"/>
            <w:tcBorders/>
            <w:vAlign w:val="center"/>
          </w:tcPr>
          <w:p>
            <w:pPr>
              <w:pStyle w:val="TableContents"/>
              <w:bidi w:val="0"/>
              <w:spacing w:before="0" w:after="283"/>
              <w:jc w:val="left"/>
              <w:rPr/>
            </w:pPr>
            <w:r>
              <w:rPr/>
              <w:t> </w:t>
            </w:r>
          </w:p>
        </w:tc>
      </w:tr>
      <w:tr>
        <w:trPr/>
        <w:tc>
          <w:tcPr>
            <w:tcW w:w="248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Attorney-in-fact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788701ex23-1.htm"/>
      <w:bookmarkStart w:id="3" w:name="ksea030788701ex231"/>
      <w:bookmarkEnd w:id="2"/>
      <w:bookmarkEnd w:id="3"/>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29565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5"/>
                    <a:stretch>
                      <a:fillRect/>
                    </a:stretch>
                  </pic:blipFill>
                  <pic:spPr bwMode="auto">
                    <a:xfrm>
                      <a:off x="0" y="0"/>
                      <a:ext cx="3295650" cy="5143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Post-Effective Amendment to the Registration Statements on Form S-8 (File Nos. 333-275975 and 333-293526) of Richtech Robotics Inc. (the “Company”) of the following reports: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1.</w:t>
            </w:r>
          </w:p>
        </w:tc>
        <w:tc>
          <w:tcPr>
            <w:tcW w:w="10022" w:type="dxa"/>
            <w:tcBorders/>
            <w:vAlign w:val="center"/>
          </w:tcPr>
          <w:p>
            <w:pPr>
              <w:pStyle w:val="TableContents"/>
              <w:bidi w:val="0"/>
              <w:spacing w:before="0" w:after="283"/>
              <w:jc w:val="both"/>
              <w:rPr/>
            </w:pPr>
            <w:r>
              <w:rPr/>
              <w:t>Our report dated August 7, 2026, relating to the consolidated financial statements of the Company as of September 30, 2025 and 2024 and for each of the years then ended, which report includes an explanatory paragraph regarding the restatement of the Company’s previously issued consolidated financial statements as of and for the years ended September 30, 2025 and 2024, appearing in the Company’s Annual Report on Form 10-K/A (Amendment No. 1) for the year ended September 30, 2025, filed with the Securities and Exchange Commission on August 7, 2026. This report supersedes our report dated January 20, 2026, included in the Company’s Annual Report on Form 10-K for the year ended September 30, 2025, filed on January 20, 2026, and our report dated January 14, 2025, included in the Company’s Annual Report on Form 10-K for the year ended September 30, 2024, filed on January 14, 2025, as amended on February 7, 2025 and March 4, 2025;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2.</w:t>
            </w:r>
          </w:p>
        </w:tc>
        <w:tc>
          <w:tcPr>
            <w:tcW w:w="10014" w:type="dxa"/>
            <w:tcBorders/>
            <w:vAlign w:val="center"/>
          </w:tcPr>
          <w:p>
            <w:pPr>
              <w:pStyle w:val="TableContents"/>
              <w:bidi w:val="0"/>
              <w:spacing w:before="0" w:after="283"/>
              <w:jc w:val="both"/>
              <w:rPr/>
            </w:pPr>
            <w:r>
              <w:rPr/>
              <w:t>Our report dated January 4, 2024, relating to the consolidated financial statements of the Company as of September 30, 2023 and 2022 and for each of the years then ended, appearing in the Company’s Annual Report on Form 10-K for the year ended September 30, 2023, filed with the Securities and Exchange Commission on January 11, 2024, as amended by Amendment No. 1 on Form 10-K/A filed on March 27,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the foregoing consent, we do not admit that we are within the category of persons whose consent is required under Section 7 of the Securities Act of 1933, as amended, or the rules and regulations of the Securities and Exchange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Bush &amp; Associates CPA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Bush &amp; Associates CPA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No. 6797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9555 S. Eastern Ave., Suite 280, Las Vegas, NV 89123 ● 702.703.5979 ● www.bushandassociatescpas.com</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3685/000121390023073129/fs12023a1ex4-1_richtech.htm" TargetMode="External"/><Relationship Id="rId3" Type="http://schemas.openxmlformats.org/officeDocument/2006/relationships/hyperlink" Target="http://www.sec.gov/Archives/edgar/data/1963685/000121390023089609/ea188933ex3-1_richtech.htm" TargetMode="External"/><Relationship Id="rId4" Type="http://schemas.openxmlformats.org/officeDocument/2006/relationships/hyperlink" Target="https://www.sec.gov/Archives/edgar/data/1963685/000121390025111197/ea026557901ex3-1_richtech.htm" TargetMode="External"/><Relationship Id="rId5" Type="http://schemas.openxmlformats.org/officeDocument/2006/relationships/hyperlink" Target="https://www.sec.gov/Archives/edgar/data/1963685/000121390024003044/f10k2023ex3-3_richtech.htm" TargetMode="External"/><Relationship Id="rId6" Type="http://schemas.openxmlformats.org/officeDocument/2006/relationships/hyperlink" Target="http://www.sec.gov/Archives/edgar/data/1963685/000121390026017445/ea027712601ex5-1_richtech.htm" TargetMode="External"/><Relationship Id="rId7" Type="http://schemas.openxmlformats.org/officeDocument/2006/relationships/hyperlink" Target="http://www.sec.gov/Archives/edgar/data/1963685/000121390023094481/ea189722ex5-1_richtech.htm" TargetMode="External"/><Relationship Id="rId8" Type="http://schemas.openxmlformats.org/officeDocument/2006/relationships/hyperlink" Target="http://www.sec.gov/Archives/edgar/data/1963685/000121390026017445/ea027712601ex5-1_richtech.htm" TargetMode="External"/><Relationship Id="rId9" Type="http://schemas.openxmlformats.org/officeDocument/2006/relationships/hyperlink" Target="http://www.sec.gov/Archives/edgar/data/1963685/000121390023094481/ea189722ex5-1_richtech.htm" TargetMode="External"/><Relationship Id="rId10" Type="http://schemas.openxmlformats.org/officeDocument/2006/relationships/hyperlink" Target="https://www.sec.gov/Archives/edgar/data/1963685/000121390025111197/ea026557901ex10-1_richtech.htm" TargetMode="External"/><Relationship Id="rId11" Type="http://schemas.openxmlformats.org/officeDocument/2006/relationships/hyperlink" Target="http://www.sec.gov/Archives/edgar/data/1963685/000121390023073129/fs12023a1ex10-7_richtech.htm" TargetMode="External"/><Relationship Id="rId12" Type="http://schemas.openxmlformats.org/officeDocument/2006/relationships/hyperlink" Target="http://www.sec.gov/Archives/edgar/data/1963685/000121390023073129/fs12023a1ex10-8_richtech.htm" TargetMode="External"/><Relationship Id="rId13" Type="http://schemas.openxmlformats.org/officeDocument/2006/relationships/hyperlink" Target="http://www.sec.gov/ix?doc=/Archives/edgar/data/1963685/000121390026017445/ea027712601ex-fee_richtech.htm" TargetMode="External"/><Relationship Id="rId14" Type="http://schemas.openxmlformats.org/officeDocument/2006/relationships/hyperlink" Target="http://www.sec.gov/Archives/edgar/data/1963685/000121390023094481/ea189722ex-fee_richtech.htm" TargetMode="External"/><Relationship Id="rId15" Type="http://schemas.openxmlformats.org/officeDocument/2006/relationships/image" Target="media/image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1383</Words>
  <Characters>7598</Characters>
  <CharactersWithSpaces>8985</CharactersWithSpaces>
  <Paragraphs>276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