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rFonts w:ascii="Times New Roman PS Std;serif" w:hAnsi="Times New Roman PS Std;serif"/>
          <w:b/>
          <w:i w:val="false"/>
          <w:caps w:val="false"/>
          <w:smallCaps w:val="false"/>
          <w:sz w:val="20"/>
        </w:rPr>
      </w:pPr>
      <w:bookmarkStart w:id="0" w:name="ea0304861-01.htm"/>
      <w:bookmarkStart w:id="1" w:name="ksea030486101"/>
      <w:bookmarkEnd w:id="0"/>
      <w:bookmarkEnd w:id="1"/>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SCHEDULE 14A </w:t>
      </w:r>
    </w:p>
    <w:p>
      <w:pPr>
        <w:pStyle w:val="TextBody"/>
        <w:keepNext w:val="false"/>
        <w:pageBreakBefore w:val="false"/>
        <w:widowControl/>
        <w:pBdr/>
        <w:bidi w:val="0"/>
        <w:spacing w:before="18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Proxy Statement Pursuant to Section 14(a) of the </w:t>
        <w:br/>
        <w:t>Securities Exchange Act of 1934 (Amendment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8443" w:type="dxa"/>
        <w:jc w:val="left"/>
        <w:tblInd w:w="0" w:type="dxa"/>
        <w:tblLayout w:type="fixed"/>
        <w:tblCellMar>
          <w:top w:w="0" w:type="dxa"/>
          <w:left w:w="0" w:type="dxa"/>
          <w:bottom w:w="0" w:type="dxa"/>
          <w:right w:w="0" w:type="dxa"/>
        </w:tblCellMar>
      </w:tblPr>
      <w:tblGrid>
        <w:gridCol w:w="331"/>
        <w:gridCol w:w="146"/>
        <w:gridCol w:w="7966"/>
      </w:tblGrid>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796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Solicitation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RICHTECH ROBOTICS INC.</w:t>
      </w:r>
      <w:r>
        <w:rPr>
          <w:rFonts w:ascii="Times New Roman PS Std;serif" w:hAnsi="Times New Roman PS Std;serif"/>
          <w:b/>
          <w:i w:val="false"/>
          <w:caps w:val="false"/>
          <w:smallCaps w:val="false"/>
          <w:sz w:val="20"/>
        </w:rPr>
        <w:t xml:space="preserve"> </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_________________________________________________________________</w:t>
      </w:r>
      <w:r>
        <w:rPr>
          <w:rFonts w:ascii="Times New Roman PS Std;serif" w:hAnsi="Times New Roman PS Std;serif"/>
          <w:b/>
          <w:i w:val="false"/>
          <w:caps w:val="false"/>
          <w:smallCaps w:val="false"/>
          <w:sz w:val="20"/>
        </w:rPr>
        <w:br/>
      </w: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RICHTECH ROBOTICS INC.</w:t>
        <w:br/>
        <w:t>2975 Lincoln Rd</w:t>
        <w:br/>
        <w:t>Las Vegas, NV 89115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September 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Richtech Robotics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cordially invited to attend the 2026 Annual Meeting of Stockholders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of Richtech Robotics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to be held at the offices of the Company at 2975 Lincoln Rd, Las Vegas, NV 89115, on Tuesday, September 29, 2026 at 10:00 a.m. Pacific Time,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re-elect Saul Factor and John Shigley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for a three-year term that will expire at the 2029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CBIZ CPAs P.C. as the Company’s independent registered public accounting firm for the fiscal year ending September 30, 2026;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UNANIMOUSLY RECOMMENDS A VOTE FOR THE ELECTION OF EACH OF THE DIRECTOR NOMINEES </w:t>
      </w:r>
      <w:r>
        <w:rPr>
          <w:rFonts w:ascii="Times New Roman PS Std;serif" w:hAnsi="Times New Roman PS Std;serif"/>
          <w:b w:val="false"/>
          <w:i w:val="false"/>
          <w:caps/>
          <w:sz w:val="20"/>
        </w:rPr>
        <w:t>and A VOTE FOR THE RATIFICATION OF THE APPOINTMENT OF THE COMPANY’S INDEPENDENT REGISTERED PUBLIC ACCOUNTING FIRM FOR THE Fiscal year ending September 30, 2026</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August 25, 2026 as the record date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vote is important. You are requested to carefully read the Proxy Statement and accompanying Notice of Annual Meeting for a more complete statement of matters to be considered at the Annual Meeting.</w:t>
      </w:r>
    </w:p>
    <w:tbl>
      <w:tblPr>
        <w:tblW w:w="3953" w:type="dxa"/>
        <w:jc w:val="left"/>
        <w:tblInd w:w="0" w:type="dxa"/>
        <w:tblLayout w:type="fixed"/>
        <w:tblCellMar>
          <w:top w:w="0" w:type="dxa"/>
          <w:left w:w="0" w:type="dxa"/>
          <w:bottom w:w="0" w:type="dxa"/>
          <w:right w:w="0" w:type="dxa"/>
        </w:tblCellMar>
      </w:tblPr>
      <w:tblGrid>
        <w:gridCol w:w="161"/>
        <w:gridCol w:w="146"/>
        <w:gridCol w:w="36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Sincerely yours,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Zhenwu (Wayne) Huang</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(Wayne) Huang</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IMPORTANT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WHETHER OR NOT YOU EXPECT TO ATTEND THE ANNUAL MEETING, </w:t>
      </w:r>
      <w:r>
        <w:rPr>
          <w:rFonts w:ascii="Times New Roman PS Std;serif" w:hAnsi="Times New Roman PS Std;serif"/>
          <w:b/>
          <w:i w:val="false"/>
          <w:caps/>
          <w:sz w:val="20"/>
        </w:rPr>
        <w:t xml:space="preserve">PLEASE READ THE PROXY STATEMENT AND PROMPTLY VOTE YOUR PROXY VIA THE INTERNET, BY TELEPHONE OR, IF YOU RECEIVED A PRINTED FORM OF PROXY IN THE MAIL, BY COMPLETING, DATING, SIGNING AND RETURNING THE ENCLOSED PROXY </w:t>
      </w:r>
      <w:r>
        <w:rPr>
          <w:rFonts w:ascii="Times New Roman PS Std;serif" w:hAnsi="Times New Roman PS Std;serif"/>
          <w:b/>
          <w:i w:val="false"/>
          <w:caps w:val="false"/>
          <w:smallCaps w:val="false"/>
          <w:sz w:val="20"/>
        </w:rPr>
        <w:t>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YOU HAVE ALREADY VOTED OR DELIVERED YOUR PROXY FOR THE ANNUAL MEETING, YOUR VOTE WILL BE COUNTED, AND YOU DO NOT HAVE TO VOTE YOUR SHARES AGAIN. IF YOU WISH TO CHANGE YOUR VOTE, YOU SHOULD REVOTE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PROXY STATEMENT, OUR FORM OF PROXY CARD, AND OUR ANNUAL REPORT ON FORM 10-K/A FOR THE FISCAL YEAR ENDED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2025 ARE BEING MAILED TO STOCKHOLDERS ON OR ABOUT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8, 2026.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RICHTECH ROBOTICS INC.</w:t>
        <w:br/>
      </w:r>
      <w:r>
        <w:rPr>
          <w:rFonts w:ascii="Times New Roman PS Std;serif" w:hAnsi="Times New Roman PS Std;serif"/>
          <w:b/>
          <w:i w:val="false"/>
          <w:caps w:val="false"/>
          <w:smallCaps w:val="false"/>
          <w:sz w:val="20"/>
        </w:rPr>
        <w:t>2975 Lincoln Rd</w:t>
        <w:br/>
        <w:t>Las Vegas, NV 89115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on September 29,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furnished in connection with the solicitation of proxies by the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of Richtech Robotics Inc.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for use at the 2026 Annual Meeting of Stockholders of the Company and at all adjournments and postponements thereof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The Annual Meeting will be held at 10:00 a.m. Pacific Time on Tuesday, September 29, 2026 at the offices of the Company at 2975 Lincoln Rd, Las Vegas, NV 89115,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re-elect Saul Factor and John Shigley as directors (the “</w:t>
      </w:r>
      <w:r>
        <w:rPr>
          <w:rFonts w:ascii="Times New Roman PS Std;serif" w:hAnsi="Times New Roman PS Std;serif"/>
          <w:b/>
          <w:i w:val="false"/>
          <w:caps w:val="false"/>
          <w:smallCaps w:val="false"/>
          <w:sz w:val="20"/>
        </w:rPr>
        <w:t>Director Nominees</w:t>
      </w:r>
      <w:r>
        <w:rPr>
          <w:rFonts w:ascii="Times New Roman PS Std;serif" w:hAnsi="Times New Roman PS Std;serif"/>
          <w:b w:val="false"/>
          <w:i w:val="false"/>
          <w:caps w:val="false"/>
          <w:smallCaps w:val="false"/>
          <w:sz w:val="20"/>
        </w:rPr>
        <w:t>”) to serve on the Company’s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for a three-year term that will expire at the 2029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CBIZ CPAs P.C. (the “</w:t>
      </w:r>
      <w:r>
        <w:rPr>
          <w:rFonts w:ascii="Times New Roman PS Std;serif" w:hAnsi="Times New Roman PS Std;serif"/>
          <w:b/>
          <w:i w:val="false"/>
          <w:caps w:val="false"/>
          <w:smallCaps w:val="false"/>
          <w:sz w:val="20"/>
        </w:rPr>
        <w:t>Auditor</w:t>
      </w:r>
      <w:r>
        <w:rPr>
          <w:rFonts w:ascii="Times New Roman PS Std;serif" w:hAnsi="Times New Roman PS Std;serif"/>
          <w:b w:val="false"/>
          <w:i w:val="false"/>
          <w:caps w:val="false"/>
          <w:smallCaps w:val="false"/>
          <w:sz w:val="20"/>
        </w:rPr>
        <w:t>”) as the Company’s independent registered public accounting firm for the fiscal year ending September 30, 2026;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a vote “FOR” the election of each of the Director Nominees, and a vote “FOR” the ratification of the appointment of the Auditor as the Company’s independent registered public accounting firm for the fiscal year ending September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of record of our Class A common stock and Class B common stock at the close of business on August 25,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xml:space="preserve">”) will be entitled to notice of, and are cordially invited to, attend the Annual Meeting and to attend any adjournment or postponement thereof. </w:t>
      </w:r>
      <w:r>
        <w:rPr>
          <w:rFonts w:ascii="Times New Roman PS Std;serif" w:hAnsi="Times New Roman PS Std;serif"/>
          <w:b/>
          <w:i w:val="false"/>
          <w:caps w:val="false"/>
          <w:smallCaps w:val="false"/>
          <w:sz w:val="20"/>
        </w:rPr>
        <w:t xml:space="preserve">However, to assure your representation at the Annual Meeting, please vote your proxy via the internet, by telephone, or by completing, dating, signing and returning the enclosed proxy. </w:t>
      </w:r>
      <w:r>
        <w:rPr>
          <w:rFonts w:ascii="Times New Roman PS Std;serif" w:hAnsi="Times New Roman PS Std;serif"/>
          <w:b w:val="false"/>
          <w:i w:val="false"/>
          <w:caps w:val="false"/>
          <w:smallCaps w:val="false"/>
          <w:sz w:val="20"/>
        </w:rPr>
        <w:t>Whether or not you expect to attend the Annual Meeting, please read the Proxy Statement and then promptly vote your proxy in order to ensure your representation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cast your vote by visiting </w:t>
      </w:r>
      <w:r>
        <w:rPr>
          <w:rFonts w:ascii="Times New Roman PS Std;serif" w:hAnsi="Times New Roman PS Std;serif"/>
          <w:b w:val="false"/>
          <w:i/>
          <w:caps w:val="false"/>
          <w:smallCaps w:val="false"/>
          <w:sz w:val="20"/>
        </w:rPr>
        <w:t>http://www.proxyvote.com</w:t>
      </w:r>
      <w:r>
        <w:rPr>
          <w:rFonts w:ascii="Times New Roman PS Std;serif" w:hAnsi="Times New Roman PS Std;serif"/>
          <w:b w:val="false"/>
          <w:i w:val="false"/>
          <w:caps w:val="false"/>
          <w:smallCaps w:val="false"/>
          <w:sz w:val="20"/>
        </w:rPr>
        <w:t xml:space="preserve">. You may also have access to the materials for the Annual Meeting by visiting the website: </w:t>
      </w:r>
      <w:r>
        <w:rPr>
          <w:rFonts w:ascii="Times New Roman PS Std;serif" w:hAnsi="Times New Roman PS Std;serif"/>
          <w:b w:val="false"/>
          <w:i/>
          <w:caps w:val="false"/>
          <w:smallCaps w:val="false"/>
          <w:sz w:val="20"/>
        </w:rPr>
        <w:t>www.richtechrobotics.com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You will need to use the control number appearing on your proxy card to vote prior to or at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share of Class A common stock entitles the holder thereof to ten (10) votes and each share of Class B common stock entitles the holder thereof to one (1) vote. A complete list of stockholders of record entitled to vote at this Annual Meeting will be available for ten (10) days before this Annual Meeting at the principal executive office of the Company for inspection by stockholders during ordinary business hours for any purpose germane to this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urged to review carefully the information contained in the enclosed proxy statement prior to deciding how to vote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notice and the attached proxy statement are first being mailed to stockholders on or about September 8, 2026.</w:t>
      </w:r>
    </w:p>
    <w:tbl>
      <w:tblPr>
        <w:tblW w:w="4553" w:type="dxa"/>
        <w:jc w:val="left"/>
        <w:tblInd w:w="0" w:type="dxa"/>
        <w:tblLayout w:type="fixed"/>
        <w:tblCellMar>
          <w:top w:w="0" w:type="dxa"/>
          <w:left w:w="0" w:type="dxa"/>
          <w:bottom w:w="0" w:type="dxa"/>
          <w:right w:w="0" w:type="dxa"/>
        </w:tblCellMar>
      </w:tblPr>
      <w:tblGrid>
        <w:gridCol w:w="161"/>
        <w:gridCol w:w="146"/>
        <w:gridCol w:w="424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2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46" w:type="dxa"/>
            <w:tcBorders/>
            <w:vAlign w:val="cente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Zhenwu (Wayne) Huang</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(Wayne) Huang</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4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Richtech Robotics Inc.</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IF YOU RETURN YOUR PROXY CARD WITHOUT AN INDICATION OF HOW YOU WISH TO VOTE, YOUR SHARES WILL BE VOTED IN FAVOR OF THE DIRECTOR NOMINEE AND THE RATIFICATION OF THE APPOINTMENT OF THE AUDITOR </w:t>
      </w:r>
      <w:r>
        <w:rPr>
          <w:rFonts w:ascii="Times New Roman PS Std;serif" w:hAnsi="Times New Roman PS Std;serif"/>
          <w:b/>
          <w:i w:val="false"/>
          <w:caps/>
          <w:sz w:val="20"/>
        </w:rPr>
        <w:t xml:space="preserve">AS THE COMPANY’S INDEPENDENT REGISTERED PUBLIC ACCOUNTING FIRM </w:t>
      </w:r>
      <w:r>
        <w:rPr>
          <w:rFonts w:ascii="Times New Roman PS Std;serif" w:hAnsi="Times New Roman PS Std;serif"/>
          <w:b/>
          <w:i w:val="false"/>
          <w:caps w:val="false"/>
          <w:smallCaps w:val="false"/>
          <w:sz w:val="20"/>
        </w:rPr>
        <w:t>FOR THE FISCAL YEAR ENDING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30, 2026.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278"/>
        <w:gridCol w:w="146"/>
        <w:gridCol w:w="781"/>
      </w:tblGrid>
      <w:tr>
        <w:trPr/>
        <w:tc>
          <w:tcPr>
            <w:tcW w:w="9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 </w:t>
            </w:r>
          </w:p>
        </w:tc>
      </w:tr>
      <w:tr>
        <w:trPr/>
        <w:tc>
          <w:tcPr>
            <w:tcW w:w="9278" w:type="dxa"/>
            <w:tcBorders/>
            <w:shd w:fill="CCEEFF" w:val="clear"/>
            <w:vAlign w:val="center"/>
          </w:tcPr>
          <w:p>
            <w:pPr>
              <w:pStyle w:val="TableContents"/>
              <w:keepNext w:val="false"/>
              <w:widowControl/>
              <w:pBdr/>
              <w:bidi w:val="0"/>
              <w:spacing w:before="0" w:after="283"/>
              <w:ind w:left="200" w:right="0" w:hanging="200"/>
              <w:jc w:val="left"/>
              <w:rPr/>
            </w:pPr>
            <w:hyperlink w:anchor="T99500">
              <w:r>
                <w:rPr>
                  <w:rStyle w:val="InternetLink"/>
                  <w:rFonts w:ascii="Times New Roman PS Std;serif" w:hAnsi="Times New Roman PS Std;serif"/>
                  <w:b w:val="false"/>
                  <w:i w:val="false"/>
                  <w:caps w:val="false"/>
                  <w:smallCaps w:val="false"/>
                  <w:sz w:val="20"/>
                </w:rPr>
                <w:t xml:space="preserve">QUESTIONS AND ANSWERS ABOUT THESE PROXY MATERIALS </w:t>
              </w:r>
            </w:hyperlink>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278" w:type="dxa"/>
            <w:tcBorders/>
            <w:vAlign w:val="center"/>
          </w:tcPr>
          <w:p>
            <w:pPr>
              <w:pStyle w:val="TableContents"/>
              <w:keepNext w:val="false"/>
              <w:widowControl/>
              <w:pBdr/>
              <w:bidi w:val="0"/>
              <w:spacing w:before="0" w:after="283"/>
              <w:ind w:left="200" w:right="0" w:hanging="200"/>
              <w:jc w:val="left"/>
              <w:rPr/>
            </w:pPr>
            <w:hyperlink w:anchor="T99501">
              <w:r>
                <w:rPr>
                  <w:rStyle w:val="InternetLink"/>
                  <w:rFonts w:ascii="Times New Roman PS Std;serif" w:hAnsi="Times New Roman PS Std;serif"/>
                  <w:b w:val="false"/>
                  <w:i w:val="false"/>
                  <w:caps w:val="false"/>
                  <w:smallCaps w:val="false"/>
                  <w:sz w:val="20"/>
                </w:rPr>
                <w:t xml:space="preserve">THE ANNUAL MEETING </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278" w:type="dxa"/>
            <w:tcBorders/>
            <w:shd w:fill="CCEEFF" w:val="clear"/>
            <w:vAlign w:val="center"/>
          </w:tcPr>
          <w:p>
            <w:pPr>
              <w:pStyle w:val="TableContents"/>
              <w:keepNext w:val="false"/>
              <w:widowControl/>
              <w:pBdr/>
              <w:bidi w:val="0"/>
              <w:spacing w:before="0" w:after="283"/>
              <w:ind w:left="200" w:right="0" w:hanging="200"/>
              <w:jc w:val="left"/>
              <w:rPr/>
            </w:pPr>
            <w:hyperlink w:anchor="T99503">
              <w:r>
                <w:rPr>
                  <w:rStyle w:val="InternetLink"/>
                  <w:rFonts w:ascii="Times New Roman PS Std;serif" w:hAnsi="Times New Roman PS Std;serif"/>
                  <w:b w:val="false"/>
                  <w:i w:val="false"/>
                  <w:caps w:val="false"/>
                  <w:smallCaps w:val="false"/>
                  <w:sz w:val="20"/>
                </w:rPr>
                <w:t xml:space="preserve">PROPOSAL 1 — ELECTION OF DIRECTORS </w:t>
              </w:r>
            </w:hyperlink>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278" w:type="dxa"/>
            <w:tcBorders/>
            <w:vAlign w:val="center"/>
          </w:tcPr>
          <w:p>
            <w:pPr>
              <w:pStyle w:val="TableContents"/>
              <w:keepNext w:val="false"/>
              <w:widowControl/>
              <w:pBdr/>
              <w:bidi w:val="0"/>
              <w:spacing w:before="0" w:after="283"/>
              <w:ind w:left="200" w:right="0" w:hanging="200"/>
              <w:jc w:val="left"/>
              <w:rPr/>
            </w:pPr>
            <w:hyperlink w:anchor="T99504">
              <w:r>
                <w:rPr>
                  <w:rStyle w:val="InternetLink"/>
                  <w:rFonts w:ascii="Times New Roman PS Std;serif" w:hAnsi="Times New Roman PS Std;serif"/>
                  <w:b w:val="false"/>
                  <w:i w:val="false"/>
                  <w:caps w:val="false"/>
                  <w:smallCaps w:val="false"/>
                  <w:sz w:val="20"/>
                </w:rPr>
                <w:t>PROPOSAL 2 — RATIFICATION OF THE APPOINTMENT OF THE COMPANY’S INDEPENDENT AUDITORS FOR FISCAL 2026</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278" w:type="dxa"/>
            <w:tcBorders/>
            <w:shd w:fill="CCEEFF" w:val="clear"/>
            <w:vAlign w:val="center"/>
          </w:tcPr>
          <w:p>
            <w:pPr>
              <w:pStyle w:val="TableContents"/>
              <w:keepNext w:val="false"/>
              <w:widowControl/>
              <w:pBdr/>
              <w:bidi w:val="0"/>
              <w:spacing w:before="0" w:after="283"/>
              <w:ind w:left="200" w:right="0" w:hanging="200"/>
              <w:jc w:val="left"/>
              <w:rPr/>
            </w:pPr>
            <w:hyperlink w:anchor="T99505">
              <w:r>
                <w:rPr>
                  <w:rStyle w:val="InternetLink"/>
                  <w:rFonts w:ascii="Times New Roman PS Std;serif" w:hAnsi="Times New Roman PS Std;serif"/>
                  <w:b w:val="false"/>
                  <w:i w:val="false"/>
                  <w:caps w:val="false"/>
                  <w:smallCaps w:val="false"/>
                  <w:sz w:val="20"/>
                </w:rPr>
                <w:t xml:space="preserve">OTHER INFORMATION </w:t>
              </w:r>
            </w:hyperlink>
          </w:p>
        </w:tc>
        <w:tc>
          <w:tcPr>
            <w:tcW w:w="146"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RICHTECH ROBOTICS INC.</w:t>
        <w:br/>
        <w:t>ANNUAL MEETING OF STOCKHOLDERS</w:t>
        <w:br/>
        <w:t>to be held on Tuesday, September 29, 2026 at 10:00 a.m. Pacific time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500"/>
      <w:bookmarkEnd w:id="3"/>
      <w:r>
        <w:rPr>
          <w:rFonts w:ascii="Times New Roman PS Std;serif" w:hAnsi="Times New Roman PS Std;serif"/>
          <w:b/>
          <w:i w:val="false"/>
          <w:caps w:val="false"/>
          <w:smallCaps w:val="false"/>
          <w:sz w:val="20"/>
        </w:rPr>
        <w:t xml:space="preserve">QUESTIONS AND ANSWERS ABOUT THESE PROXY MATERIALS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am I receiving these Proxy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proxy materials are being furnished to you in connection with the solicitation of proxies by the Board of Directors (the “</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of Richtech Robotics Inc. for use at the 2026 Annual Meeting of Stockholders (the “</w:t>
      </w:r>
      <w:r>
        <w:rPr>
          <w:rFonts w:ascii="Times New Roman PS Std;serif" w:hAnsi="Times New Roman PS Std;serif"/>
          <w:b/>
          <w:i w:val="false"/>
          <w:caps w:val="false"/>
          <w:smallCaps w:val="false"/>
          <w:sz w:val="20"/>
        </w:rPr>
        <w:t>Annual Meeting</w:t>
      </w:r>
      <w:r>
        <w:rPr>
          <w:rFonts w:ascii="Times New Roman PS Std;serif" w:hAnsi="Times New Roman PS Std;serif"/>
          <w:b w:val="false"/>
          <w:i w:val="false"/>
          <w:caps w:val="false"/>
          <w:smallCaps w:val="false"/>
          <w:sz w:val="20"/>
        </w:rPr>
        <w:t>”) to be held at the offices of the Company at 2975 Lincoln Rd, Las Vegas, NV 89115, on Tuesday, September 29, 2026 at 10:00 a.m. Pacific time, and at any postponement(s) or adjournment(s) thereof. These materials were first sent or given to stockholders on or about September 8, 2026. This proxy statement gives you information on these proposals so that you can make an informed decision.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proxy statement, we refer to Richtech Robotics Inc. as the “</w:t>
      </w:r>
      <w:r>
        <w:rPr>
          <w:rFonts w:ascii="Times New Roman PS Std;serif" w:hAnsi="Times New Roman PS Std;serif"/>
          <w:b/>
          <w:i w:val="false"/>
          <w:caps w:val="false"/>
          <w:smallCaps w:val="false"/>
          <w:sz w:val="20"/>
        </w:rPr>
        <w:t>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our</w:t>
      </w:r>
      <w:r>
        <w:rPr>
          <w:rFonts w:ascii="Times New Roman PS Std;serif" w:hAnsi="Times New Roman PS Std;serif"/>
          <w:b w:val="false"/>
          <w:i w:val="false"/>
          <w:caps w:val="false"/>
          <w:smallCaps w:val="false"/>
          <w:sz w:val="20"/>
        </w:rPr>
        <w:t>” or similar terminology.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included in these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Proxy Statement for the Annual Meeting;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Company’s Annual Report on Form 10-K/A for the year ended September 30, 2025;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proxy card (if you are a stockholder of record) or a voting instruction form (if you are a beneficial owner of shares held in street name).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vote at the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owned shares of our Class A common stock, par value $0.0001 per share (the “</w:t>
      </w:r>
      <w:r>
        <w:rPr>
          <w:rFonts w:ascii="Times New Roman PS Std;serif" w:hAnsi="Times New Roman PS Std;serif"/>
          <w:b/>
          <w:i w:val="false"/>
          <w:caps w:val="false"/>
          <w:smallCaps w:val="false"/>
          <w:sz w:val="20"/>
        </w:rPr>
        <w:t>Class A Common Stock</w:t>
      </w:r>
      <w:r>
        <w:rPr>
          <w:rFonts w:ascii="Times New Roman PS Std;serif" w:hAnsi="Times New Roman PS Std;serif"/>
          <w:b w:val="false"/>
          <w:i w:val="false"/>
          <w:caps w:val="false"/>
          <w:smallCaps w:val="false"/>
          <w:sz w:val="20"/>
        </w:rPr>
        <w:t>”), and/or Class B common stock, par value $0.0001 per share (the “</w:t>
      </w:r>
      <w:r>
        <w:rPr>
          <w:rFonts w:ascii="Times New Roman PS Std;serif" w:hAnsi="Times New Roman PS Std;serif"/>
          <w:b/>
          <w:i w:val="false"/>
          <w:caps w:val="false"/>
          <w:smallCaps w:val="false"/>
          <w:sz w:val="20"/>
        </w:rPr>
        <w:t>Class B Common Stock</w:t>
      </w:r>
      <w:r>
        <w:rPr>
          <w:rFonts w:ascii="Times New Roman PS Std;serif" w:hAnsi="Times New Roman PS Std;serif"/>
          <w:b w:val="false"/>
          <w:i w:val="false"/>
          <w:caps w:val="false"/>
          <w:smallCaps w:val="false"/>
          <w:sz w:val="20"/>
        </w:rPr>
        <w:t>” and together with the Class A Common Stock, the “</w:t>
      </w:r>
      <w:r>
        <w:rPr>
          <w:rFonts w:ascii="Times New Roman PS Std;serif" w:hAnsi="Times New Roman PS Std;serif"/>
          <w:b/>
          <w:i w:val="false"/>
          <w:caps w:val="false"/>
          <w:smallCaps w:val="false"/>
          <w:sz w:val="20"/>
        </w:rPr>
        <w:t>Common Stock</w:t>
      </w:r>
      <w:r>
        <w:rPr>
          <w:rFonts w:ascii="Times New Roman PS Std;serif" w:hAnsi="Times New Roman PS Std;serif"/>
          <w:b w:val="false"/>
          <w:i w:val="false"/>
          <w:caps w:val="false"/>
          <w:smallCaps w:val="false"/>
          <w:sz w:val="20"/>
        </w:rPr>
        <w:t>”) on August 25, 2026 (the “</w:t>
      </w:r>
      <w:r>
        <w:rPr>
          <w:rFonts w:ascii="Times New Roman PS Std;serif" w:hAnsi="Times New Roman PS Std;serif"/>
          <w:b/>
          <w:i w:val="false"/>
          <w:caps w:val="false"/>
          <w:smallCaps w:val="false"/>
          <w:sz w:val="20"/>
        </w:rPr>
        <w:t>Record Date</w:t>
      </w:r>
      <w:r>
        <w:rPr>
          <w:rFonts w:ascii="Times New Roman PS Std;serif" w:hAnsi="Times New Roman PS Std;serif"/>
          <w:b w:val="false"/>
          <w:i w:val="false"/>
          <w:caps w:val="false"/>
          <w:smallCaps w:val="false"/>
          <w:sz w:val="20"/>
        </w:rPr>
        <w:t>”) may vote at the Annual Meeting. There were 39,934,846 shares of Class A Common Stock outstanding on the Record Date, each having ten (10) votes per share, and there were 185,167,097 shares of Class B Common Stock outstanding on the Record Date, each having one (1) vote per share. All shares of Common Stock vote together as a single class. Information about the stockholdings of our directors and executive officers is contained in the section of this Proxy Statement entitled “Beneficial Ownership of Principal Stockholders, Officers and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attend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meeting in person, please RSVP when you vote your shares online or by phone. If you vote by mail, you can use the Meeting Attendance checkbox at the bottom of your proxy card. You can also RSVP via email to annualmeeting@richtechrobotics.com with RSVP as the subject line no later than 11:59 p.m. Pacific time on September 28, 2026. Admission to the annual meeting is limited to the Company’s stockholders or their proxy holders. In order to be admitted to the annual meeting, each stockholder will be asked to present proof of stock ownership and valid government-issued photo identification, such as a driver’s license. Proof of stock ownership may consist of the proxy card, or if shares are held in the name of a broker, bank or other nominee, an account statement or letter from the nominee indicating that you beneficially owned shares of the Company’s Common Stock at the close of business on August 25, 2026, the Record Date for the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proxy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proxy card enables you to appoint Zhenwu (Wayne) Huang, our Chief Executive Officer and a Director, and Zhenqiang Huang, our Chief Financial Officer and a Director, as your representatives at the Annual Meeting. By completing and returning the proxy card or voting online as described herein, you are authorizing Zhenwu (Wayne) Huang and Zhenqiang (Michael) Huang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am I voting 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are being asked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re-elect Saul Factor and John Shigley as directors to serve on the Board for a three-year term that will expire at the 2029 Annual Meeting of Stockholders, or until their successors are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CBIZ CPAs P.C. (the “</w:t>
      </w:r>
      <w:r>
        <w:rPr>
          <w:rFonts w:ascii="Times New Roman PS Std;serif" w:hAnsi="Times New Roman PS Std;serif"/>
          <w:b/>
          <w:i w:val="false"/>
          <w:caps w:val="false"/>
          <w:smallCaps w:val="false"/>
          <w:sz w:val="20"/>
        </w:rPr>
        <w:t>Auditor</w:t>
      </w:r>
      <w:r>
        <w:rPr>
          <w:rFonts w:ascii="Times New Roman PS Std;serif" w:hAnsi="Times New Roman PS Std;serif"/>
          <w:b w:val="false"/>
          <w:i w:val="false"/>
          <w:caps w:val="false"/>
          <w:smallCaps w:val="false"/>
          <w:sz w:val="20"/>
        </w:rPr>
        <w:t>”) as the Company’s independent registered public accounting firm for the fiscal year ending September 30, 2026;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recommend that I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unanimously recommends that the stockholders vote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xml:space="preserve"> each of the Director Nominees, and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the Auditor as the Company’s independent registered public accounting firm for the fiscal year ending September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difference between holding shares as a stockholder of record and as a 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of Record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Beneficial Owner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 my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four ways to vote:</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w:t>
      </w:r>
      <w:r>
        <w:rPr>
          <w:rFonts w:ascii="Times New Roman PS Std;serif" w:hAnsi="Times New Roman PS Std;serif"/>
          <w:b w:val="false"/>
          <w:i/>
          <w:caps w:val="false"/>
          <w:smallCaps w:val="false"/>
          <w:sz w:val="20"/>
        </w:rPr>
        <w:t>Via the Internet</w:t>
      </w:r>
      <w:r>
        <w:rPr>
          <w:rFonts w:ascii="Times New Roman PS Std;serif" w:hAnsi="Times New Roman PS Std;serif"/>
          <w:b w:val="false"/>
          <w:i w:val="false"/>
          <w:caps w:val="false"/>
          <w:smallCaps w:val="false"/>
          <w:sz w:val="20"/>
        </w:rPr>
        <w:t>.    Use the internet to vote by going to the internet address listed on your proxy; have your proxy card in hand as you will be prompted to enter your control number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w:t>
      </w:r>
      <w:r>
        <w:rPr>
          <w:rFonts w:ascii="Times New Roman PS Std;serif" w:hAnsi="Times New Roman PS Std;serif"/>
          <w:b w:val="false"/>
          <w:i/>
          <w:caps w:val="false"/>
          <w:smallCaps w:val="false"/>
          <w:sz w:val="20"/>
        </w:rPr>
        <w:t>Via telephone</w:t>
      </w:r>
      <w:r>
        <w:rPr>
          <w:rFonts w:ascii="Times New Roman PS Std;serif" w:hAnsi="Times New Roman PS Std;serif"/>
          <w:b w:val="false"/>
          <w:i w:val="false"/>
          <w:caps w:val="false"/>
          <w:smallCaps w:val="false"/>
          <w:sz w:val="20"/>
        </w:rPr>
        <w:t>.    Using a touch-tone telephone, you may transmit your voting instructions to the number provided on your proxy card. Have your proxy card in hand as you will be prompted to enter your control number to create and submit a telephonic vote.</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(3)    </w:t>
      </w:r>
      <w:r>
        <w:rPr>
          <w:rFonts w:ascii="Times New Roman PS Std;serif" w:hAnsi="Times New Roman PS Std;serif"/>
          <w:b w:val="false"/>
          <w:i/>
          <w:caps w:val="false"/>
          <w:smallCaps w:val="false"/>
          <w:sz w:val="20"/>
        </w:rPr>
        <w:t>At the Annual Meeting</w:t>
      </w:r>
      <w:r>
        <w:rPr>
          <w:rFonts w:ascii="Times New Roman PS Std;serif" w:hAnsi="Times New Roman PS Std;serif"/>
          <w:b w:val="false"/>
          <w:i w:val="false"/>
          <w:caps w:val="false"/>
          <w:smallCaps w:val="false"/>
          <w:sz w:val="20"/>
        </w:rPr>
        <w:t>.    You may vote in person at the Annual Meeting. If you are a beneficial owner of shares held in street name and you wish to vote at the Annual Meeting, you must obtain a legal proxy from the brokerage firm, bank, broker-dealer or other similar organization that holds your shares. Please contact that organization for instructions regarding obtaining a legal proxy.</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(4)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vote by mail. If you are a record holder, you may vote by proxy by filling out the proxy card and sending it back in the envelope provided. If you are a beneficial holder you may vote by proxy by filling out the vote instruction form and sending it back in the envelope provided by your brokerage firm, bank, broker-dealer or other similar organization that holds your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card?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have multiple accounts at the transfer agent and/or with brokerage firms. Please sign and return all proxy cards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I change my mind after I return my proxy?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may revoke your proxy and change your vote at any time before the polls close at the Annual Meeting. You may do this by: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sending a written notice to Zhenqiang (Michael) Huang, our Chief Financial Officer and Director, stating that you would like to revoke your proxy of a particular date;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signing another proxy card with a later date and returning it before the polls close at the Annual Meeting;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Voting at the Annual Meeting.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shares be voted if I do not sign and return my proxy card?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absent instructions from you. However, due to voting rules that may prevent your bank or broker from voting your uninstructed shares on a discretionary basis in the election of directors and other non-routine matters, it is important that you cast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I vote with respect to each proposal and how are votes counted?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voting options will be dependent on the particular proposal for which you wish to cast a vote. With respect to proposal 1 (the election of directors), you may vote “for” the Director Nominees or “withhold” authority to vote for the Director Nominees. With respect to proposal 2 you may vote “for” or “against” the proposal or you may “abstain” from casting a vote on such proposal. Abstentions, votes marked “withheld” and broker non-votes will be counted for the purpose of determining whether a quorum is present at the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on a matter when a broker is not permitted to vote on that matter without instructions from the beneficial owner and instructions are not given. These matters are referred to as “non-routine” matters. The election of the directors is “non-routine.” Thus, in tabulating the voting result for these proposals, shares that constitute broker non-votes are not considered votes cast on that proposal. The ratification of the appointment of the Auditor is a “routine” matter and therefore a broker may vote on this matter without instructions from the beneficial owner as long as instructions are not given.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elect the Director Nominee as directors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person receiving the highest number of affirmative votes at the Annual Meeting will be elected. Only shares that are voted in favor of a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required to ratify the Company’s independent public accountants?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at the Annual Meeting by the holders of Common Stock entitled to vote is required to ratify the Auditor as our independent registered public accounting firm for the year ending September 30, 2026. Abstentions will have no direct effect on the outcome of this proposal, but since this is a routine matter, brokers may vote at the Meeting on this proposal provided that they have not received instructions from a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happens if I don’t indicate how to vote my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just sign your proxy card without providing further instructions, your shares will be counted as a “for” vote for the Director Nominee, and “for” the ratification of the appointment of the Auditor as the Company’s independent registered public accounting firm for the fiscal year ending September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 my vote kept confidential?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ballots and voting tabulations identifying stockholders are kept confidential and will not be disclosed except as may be necessary to meet legal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do I find the voting results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announce voting results at the Annual Meeting and will file a Current Report on Form 8-K announcing the voting results of the Annual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can help answer my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contact our Chief Financial Officer, Zhenqiang (Michael) Huang, at annualmeeting@richtechrobotics.com or by sending a letter to Mr. Huang at the offices of the Company at 2975 Lincoln Rd, Las Vegas, NV 89115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bears the cost of soliciting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telephone, electronic and personal communications, but no additional compensation will be paid to such individuals in connection with such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501"/>
      <w:bookmarkEnd w:id="4"/>
      <w:r>
        <w:rPr>
          <w:rFonts w:ascii="Times New Roman PS Std;serif" w:hAnsi="Times New Roman PS Std;serif"/>
          <w:b/>
          <w:i w:val="false"/>
          <w:caps w:val="false"/>
          <w:smallCaps w:val="false"/>
          <w:sz w:val="20"/>
        </w:rPr>
        <w:t xml:space="preserve">THE ANNUAL MEETING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is being furnished to you, as a stockholder of Richtech Robotics Inc., as part of the solicitation of proxies by our Board for use at the Annual Meeting to be held on September 29, 2026, and any adjournment or postponement thereof. This Proxy Statement is first being furnished to stockholders on or about September 8, 2026. This Proxy Statement provides you with information you need to know to be able to vote or instruct your proxy how to vote at 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Date, Time, Place of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Annual Meeting will be held at the offices of the Company at 2975 Lincoln Rd, Las Vegas, NV 89115, on Tuesday, September 29, 2026 at 10:00 a.m. Pacific Time, or such other date, time and place to which the Meeting may be adjourned or postponed.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Attending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meeting in person, please RSVP when you vote your shares online or by phone. If you vote by mail, you can use the Meeting Attendance checkbox at the bottom of your proxy card. You can also RSVP via email to annualmeeting@richtechrobotics.com with RSVP as the subject line no later than 11:59 p.m. Pacific time on September 28, 2026. Admission to the Annual Meeting is limited to the Company’s stockholders or their proxy holders. In order to be admitted to the annual meeting, each stockholder will be asked to present proof of stock ownership and valid government-issued photo identification, such as a driver’s license. Proof of stock ownership may consist of the proxy card, or if shares are held in the name of a broker, bank or other nominee, an account statement or letter from the nominee indicating that you beneficially owned shares of the Company’s Common Stock at the close of business on August 25, 2026, the Record Date for the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 of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the Company will ask stockholders to consider and vote upon the following proposals: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re-elect the Director Nominees to serve on the Board for a three-year term that will expire at the 2029 Annual Meeting of Stockholders, or until his successor is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by the Board of CBIZ CPAs P.C. as the Company’s independent registered public accounting firm for the fiscal year ending September 30, 2026;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 or any adjournment thereof.</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Recommendations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careful consideration of each nominee for director, the Board has unanimously determined to recommend that stockholders vote “FOR” each of the Director Nominees and “FOR” the ratification of the appointment of the Auditor as the Company’s independent registered public accounting firm for the fiscal year ending September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Record Date and 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fixed the close of business on August 25, 2026, as the record date for the determination of the outstanding shares of Common Stock entitled to notice of, and to vote on, the matters presented at the Annual Meeting. As of the Record Date, there were 39,934,846 shares of Class A Common Stock outstanding and 185,167,097 shares of Class B Common Stock outstanding. Each share of Class A Common Stock entitles the holder thereof to ten (10) votes and each share of Class B Common Stock entitles the holder thereof to one (1) vote. Accordingly, a total of 584,515,557 votes may be cast at the Annual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Quorum and 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person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at the Annual Meeting is required to ratify the Auditor as our independent registered public accounting firm for the year ending September 30, 2026. Abstentions will have no effect on the ratification of the appointment of the Auditor. Brokers may use their discretion to vote shares held by them of record for this proposal if they have not been provided with voting instructions from the beneficial owner of the shares of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four ways to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w:t>
      </w:r>
      <w:r>
        <w:rPr>
          <w:rFonts w:ascii="Times New Roman PS Std;serif" w:hAnsi="Times New Roman PS Std;serif"/>
          <w:b w:val="false"/>
          <w:i/>
          <w:caps w:val="false"/>
          <w:smallCaps w:val="false"/>
          <w:sz w:val="20"/>
        </w:rPr>
        <w:t>Via the Internet</w:t>
      </w:r>
      <w:r>
        <w:rPr>
          <w:rFonts w:ascii="Times New Roman PS Std;serif" w:hAnsi="Times New Roman PS Std;serif"/>
          <w:b w:val="false"/>
          <w:i w:val="false"/>
          <w:caps w:val="false"/>
          <w:smallCaps w:val="false"/>
          <w:sz w:val="20"/>
        </w:rPr>
        <w:t>.    Use the internet to vote by going to the internet address listed on your proxy card; have your proxy card in hand as you will be prompted to enter your control number and to create and submit an electronic vote. If you vote in this manner, your “proxy,” whose name is listed on the proxy card, will vote your shares as you instruct on the proxy card. If you sign and return the proxy card or submit an electronic vote but do not give instructions on how to vote your shares, your shares will be voted as recommended by the Board.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w:t>
      </w:r>
      <w:r>
        <w:rPr>
          <w:rFonts w:ascii="Times New Roman PS Std;serif" w:hAnsi="Times New Roman PS Std;serif"/>
          <w:b w:val="false"/>
          <w:i/>
          <w:caps w:val="false"/>
          <w:smallCaps w:val="false"/>
          <w:sz w:val="20"/>
        </w:rPr>
        <w:t>Via Telephone</w:t>
      </w:r>
      <w:r>
        <w:rPr>
          <w:rFonts w:ascii="Times New Roman PS Std;serif" w:hAnsi="Times New Roman PS Std;serif"/>
          <w:b w:val="false"/>
          <w:i w:val="false"/>
          <w:caps w:val="false"/>
          <w:smallCaps w:val="false"/>
          <w:sz w:val="20"/>
        </w:rPr>
        <w:t>.    Using a touch-tone telephone, you may transmit your voting instructions to the number provided on your proxy card. Have your proxy card in hand as you will be prompted to enter your control number to create and submit a telephonic vote.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w:t>
      </w:r>
      <w:r>
        <w:rPr>
          <w:rFonts w:ascii="Times New Roman PS Std;serif" w:hAnsi="Times New Roman PS Std;serif"/>
          <w:b w:val="false"/>
          <w:i/>
          <w:caps w:val="false"/>
          <w:smallCaps w:val="false"/>
          <w:sz w:val="20"/>
        </w:rPr>
        <w:t>At the Annual Meeting</w:t>
      </w:r>
      <w:r>
        <w:rPr>
          <w:rFonts w:ascii="Times New Roman PS Std;serif" w:hAnsi="Times New Roman PS Std;serif"/>
          <w:b w:val="false"/>
          <w:i w:val="false"/>
          <w:caps w:val="false"/>
          <w:smallCaps w:val="false"/>
          <w:sz w:val="20"/>
        </w:rPr>
        <w:t>.    You may vote in person at the Annual Meeting. If you are a beneficial owner of shares held in street name and you wish to vote at the Annual Meeting, you must obtain a legal proxy from the brokerage firm, bank, broker-dealer or other similar organization that holds your shares. Please contact that organization for instructions regarding obtaining a legal proxy.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w:t>
      </w:r>
      <w:r>
        <w:rPr>
          <w:rFonts w:ascii="Times New Roman PS Std;serif" w:hAnsi="Times New Roman PS Std;serif"/>
          <w:b w:val="false"/>
          <w:i/>
          <w:caps w:val="false"/>
          <w:smallCaps w:val="false"/>
          <w:sz w:val="20"/>
        </w:rPr>
        <w:t>By mail</w:t>
      </w:r>
      <w:r>
        <w:rPr>
          <w:rFonts w:ascii="Times New Roman PS Std;serif" w:hAnsi="Times New Roman PS Std;serif"/>
          <w:b w:val="false"/>
          <w:i w:val="false"/>
          <w:caps w:val="false"/>
          <w:smallCaps w:val="false"/>
          <w:sz w:val="20"/>
        </w:rPr>
        <w:t>.    You may vote by mail. If you are a record holder, you may vote by proxy by filling out the proxy card and sending it back in the envelope provided. If you are a beneficial holder you may vote by proxy by filling out the vote instruction form and sending it back in the envelope provided by your brokerage firm, bank, broker-dealer or other similar organization that holds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Revocability of 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Right of Appraisal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Nevada law, our second amended and restated articles of incorporation (“</w:t>
      </w:r>
      <w:r>
        <w:rPr>
          <w:rFonts w:ascii="Times New Roman PS Std;serif" w:hAnsi="Times New Roman PS Std;serif"/>
          <w:b/>
          <w:i w:val="false"/>
          <w:caps w:val="false"/>
          <w:smallCaps w:val="false"/>
          <w:sz w:val="20"/>
        </w:rPr>
        <w:t>Articles of Incorporation</w:t>
      </w:r>
      <w:r>
        <w:rPr>
          <w:rFonts w:ascii="Times New Roman PS Std;serif" w:hAnsi="Times New Roman PS Std;serif"/>
          <w:b w:val="false"/>
          <w:i w:val="false"/>
          <w:caps w:val="false"/>
          <w:smallCaps w:val="false"/>
          <w:sz w:val="20"/>
        </w:rPr>
        <w:t>”), or our second amended and restated bylaws (“</w:t>
      </w:r>
      <w:r>
        <w:rPr>
          <w:rFonts w:ascii="Times New Roman PS Std;serif" w:hAnsi="Times New Roman PS Std;serif"/>
          <w:b/>
          <w:i w:val="false"/>
          <w:caps w:val="false"/>
          <w:smallCaps w:val="false"/>
          <w:sz w:val="20"/>
        </w:rPr>
        <w:t>Bylaws</w:t>
      </w:r>
      <w:r>
        <w:rPr>
          <w:rFonts w:ascii="Times New Roman PS Std;serif" w:hAnsi="Times New Roman PS Std;serif"/>
          <w:b w:val="false"/>
          <w:i w:val="false"/>
          <w:caps w:val="false"/>
          <w:smallCaps w:val="false"/>
          <w:sz w:val="20"/>
        </w:rPr>
        <w:t>”), provides for appraisal or other similar rights for dissenting stockholders in connection with any of the proposals to be voted upon at this Annual Meeting. Accordingly, our stockholders will have no right to dissent and obtain payment for their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Who Can Answer Your Questions About Voting Your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contact our Chief Financial Officer, Zhenqiang (Michael) Huang, at annualmeeting@richtechrobotics.com or by sending a letter to Mr. Huang at the offices of the Company at 2975 Lincoln Rd, Las Vegas, NV 89115 with any questions about proposals described in this Proxy Statement or how to execute your vote.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Principal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executive offices of the Company are located 2975 Lincoln Rd, Las Vegas, NV 89115. The Company’s telephone number at such address is (866) 236-3835.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MEETING. THE BOARD UNANIMOUSLY RECOM</w:t>
      </w:r>
      <w:r>
        <w:rPr>
          <w:rFonts w:ascii="Times New Roman PS Std;serif" w:hAnsi="Times New Roman PS Std;serif"/>
          <w:b/>
          <w:i w:val="false"/>
          <w:caps/>
          <w:sz w:val="20"/>
        </w:rPr>
        <w:t>MENDS A VOTE “FOR” the ELECTION of EACH OF THE director nomineeS, AND “FOR” the ratification of the appointment of the Auditor as the Company’s independent registered public accounting firm for the fiscal year ending September 30, 2026</w:t>
      </w:r>
      <w:r>
        <w:rPr>
          <w:rFonts w:ascii="Times New Roman PS Std;serif" w:hAnsi="Times New Roman PS Std;serif"/>
          <w:b/>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503"/>
      <w:bookmarkEnd w:id="5"/>
      <w:r>
        <w:rPr>
          <w:rFonts w:ascii="Times New Roman PS Std;serif" w:hAnsi="Times New Roman PS Std;serif"/>
          <w:b/>
          <w:i w:val="false"/>
          <w:caps w:val="false"/>
          <w:smallCaps w:val="false"/>
          <w:sz w:val="20"/>
        </w:rPr>
        <w:t xml:space="preserve">PROPOSAL 1 </w:t>
        <w:br/>
        <w:t>ELECTION OF DIRECTORS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nominated the Director Nominees to stand for re-election at the Annual Meeting. Stockholders will be asked to re-elect the Director Nominees, to hold office until the 2029 Annual Meeting of Stockholders or until their successors are elected and qualified. The enclosed proxy, if returned, and unless indicated to the contrary, will be voted for the election of the 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the Director Nominees that they are willing to be named as nominees and are willing to serve or continue to serve as directors if elected. If some unexpected occurrence should make necessary, in the discretion of the Board, the substitution of some other person for the nominees, it is the intention of the person named in the proxy to vote for the election of such other person as may be designated by the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Board Qualifications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Nominees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currently is divided into three (3) classes, with only one class of directors being elected in each year and each class (except for those directors appointed prior to our first annual meeting of stockholders) serving a three-year term. The term of office of the first class of directors, which consists of Stephen Markscheid, who was re-elected at our first annual meeting of stockholders held on September 29, 2025, will expire at our 2028 Annual Meeting of Stockholders. The term of office of the second class of directors, which consists of Saul Factor and John Shigley, will expire at the second annual meeting of stockholders. The term of office of the third class of directors, which consists of Zhenwu (Wayne) Huang and Zhenqiang (Michael) Huang, will expire at the third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at the Annual Meeting, Saul Factor and John Shigley are to be re-elected, to serve until the 2029 Annual Meeting of Stockholders and until their successors shall be elected and shall qualify. The current directors that have determined to stand for reelection at the Annual Meeting have been nominated for reelection to the Board. The Director Nominees are available for election as members of the Board. If for any reason the Director Nominees become unavailable for election, the proxies solicited by the Board will be voted for a substitute nominee selected by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biography of the Director Nominees is set forth below under the section entitled “Directors, Executive Officers and Corporate Governance.”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election of directors, the person receiving the highest number of affirmative votes cast at the Annual Meeting will be elected.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UNANIMOUSLY RECOMMENDS A VOTE “FOR” ELECTION OF EACH OF THE DIRECTOR NOMINEES.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EXECUTIVE OFFICERS AND CORPORATE GOVERNANCE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Current Directors and Executive Officers as of the Date of this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Listed below are the names of the current directors and executive officers of the Company, their ages and positions held as of the Record Date and biographies if not disclosed above:</w:t>
      </w:r>
    </w:p>
    <w:tbl>
      <w:tblPr>
        <w:tblW w:w="7300" w:type="dxa"/>
        <w:jc w:val="left"/>
        <w:tblInd w:w="0" w:type="dxa"/>
        <w:tblLayout w:type="fixed"/>
        <w:tblCellMar>
          <w:top w:w="0" w:type="dxa"/>
          <w:left w:w="0" w:type="dxa"/>
          <w:bottom w:w="0" w:type="dxa"/>
          <w:right w:w="0" w:type="dxa"/>
        </w:tblCellMar>
      </w:tblPr>
      <w:tblGrid>
        <w:gridCol w:w="2806"/>
        <w:gridCol w:w="146"/>
        <w:gridCol w:w="556"/>
        <w:gridCol w:w="146"/>
        <w:gridCol w:w="3646"/>
      </w:tblGrid>
      <w:tr>
        <w:trPr/>
        <w:tc>
          <w:tcPr>
            <w:tcW w:w="28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r>
      <w:tr>
        <w:trPr/>
        <w:tc>
          <w:tcPr>
            <w:tcW w:w="280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(Wayne) Huang</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center"/>
          </w:tcPr>
          <w:p>
            <w:pPr>
              <w:pStyle w:val="TableContents"/>
              <w:bidi w:val="0"/>
              <w:spacing w:before="0" w:after="283"/>
              <w:jc w:val="left"/>
              <w:rPr/>
            </w:pPr>
            <w:r>
              <w:rPr/>
              <w:t> </w:t>
            </w:r>
          </w:p>
        </w:tc>
        <w:tc>
          <w:tcPr>
            <w:tcW w:w="36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80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Zhenqiang (Michael) Huang</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Director</w:t>
            </w:r>
          </w:p>
        </w:tc>
      </w:tr>
      <w:tr>
        <w:trPr/>
        <w:tc>
          <w:tcPr>
            <w:tcW w:w="280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Phil Zheng</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shd w:fill="CCEEFF" w:val="clear"/>
            <w:vAlign w:val="center"/>
          </w:tcPr>
          <w:p>
            <w:pPr>
              <w:pStyle w:val="TableContents"/>
              <w:bidi w:val="0"/>
              <w:spacing w:before="0" w:after="283"/>
              <w:jc w:val="left"/>
              <w:rPr/>
            </w:pPr>
            <w:r>
              <w:rPr/>
              <w:t> </w:t>
            </w:r>
          </w:p>
        </w:tc>
        <w:tc>
          <w:tcPr>
            <w:tcW w:w="36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80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Shigley</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0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Stephen Markscheid</w:t>
            </w:r>
          </w:p>
        </w:tc>
        <w:tc>
          <w:tcPr>
            <w:tcW w:w="146"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center"/>
          </w:tcPr>
          <w:p>
            <w:pPr>
              <w:pStyle w:val="TableContents"/>
              <w:bidi w:val="0"/>
              <w:spacing w:before="0" w:after="283"/>
              <w:jc w:val="left"/>
              <w:rPr/>
            </w:pPr>
            <w:r>
              <w:rPr/>
              <w:t> </w:t>
            </w:r>
          </w:p>
        </w:tc>
        <w:tc>
          <w:tcPr>
            <w:tcW w:w="3646" w:type="dxa"/>
            <w:tcBorders/>
            <w:shd w:fill="CCEEFF" w:val="clear"/>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80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Factor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364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Biographies of 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Mr. Zhenwu (Wayne) Huang </w:t>
      </w:r>
      <w:r>
        <w:rPr>
          <w:rFonts w:ascii="Times New Roman PS Std;serif" w:hAnsi="Times New Roman PS Std;serif"/>
          <w:b w:val="false"/>
          <w:i w:val="false"/>
          <w:caps w:val="false"/>
          <w:smallCaps w:val="false"/>
          <w:sz w:val="20"/>
        </w:rPr>
        <w:t>has served as our Founder, Chief Executive Officer and director since the founding of the Company in July 2016. Mr. Huang has 20 years of experience leading corporations across multiple technology industries. Mr. Huang directs the core focus of the company, formulates and implements business policies through the Company’s management team, and directly oversees R&amp;D operations. He served as co-founder and Chief Executive Officer of Nanjing Rich Digital Technology Co. Ltd. from 2003 to 2007, a leading value-add service provider for telecommunications. There, he pioneered live interactive TV games based on smart computer vision. and had a peak audience of over 100 million subscribers. This success can be attributed to Mr. Huang’s understanding of customer centric design, utilizing technology to elevate the customer experience. Mr. Huang served was the co-founder and Chief Executive Officer of Richtech System Ltd. from 2007 to 2016, a global supplier of smart hardware and interactive multimedia systems to over 120 countries. Mr. Huang received a Bachelor in Computer Information Management from Huadong Finance and Economics College in July 2000. We believe that Mr. Huang’s extensive knowledge of our Company as co-founder and his experience in executive roles across multiple industries make him qualified to serve on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Zhenqiang (Michael) Huang</w:t>
      </w:r>
      <w:r>
        <w:rPr>
          <w:rFonts w:ascii="Times New Roman PS Std;serif" w:hAnsi="Times New Roman PS Std;serif"/>
          <w:b w:val="false"/>
          <w:i w:val="false"/>
          <w:caps w:val="false"/>
          <w:smallCaps w:val="false"/>
          <w:sz w:val="20"/>
        </w:rPr>
        <w:t xml:space="preserve"> has served as our co-founder, Chief Financial Officer and director since the founding of the Company in July 2016. He oversees the functions relating to finance, accounting, reporting and procurement. Mr. Huang was co-founder of Nanjing Rich Digital Technology Co. Ltd. from 2003 to 2007 where he oversaw international cooperation and partnerships. He served as co-founder and Chief Financial Officer of Richtech System Ltd. from 2007 to 2016, leading the company on its international expansion and business development. Mr. Huang holds a management training certificate from the Federal Ministry of Economics and Technology of Germany since 2012. He received his Bachelor’s Degree in Economics from Nanjing University in June 2000. We believe that Mr. Huang’s extensive knowledge of our Company as co-founder and his experience in finance and international business development make him qualified to serve on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Phil Zheng</w:t>
      </w:r>
      <w:r>
        <w:rPr>
          <w:rFonts w:ascii="Times New Roman PS Std;serif" w:hAnsi="Times New Roman PS Std;serif"/>
          <w:b w:val="false"/>
          <w:i w:val="false"/>
          <w:caps w:val="false"/>
          <w:smallCaps w:val="false"/>
          <w:sz w:val="20"/>
        </w:rPr>
        <w:t xml:space="preserve"> has served as our Chief Operating Officer since February 2020. He oversees the operations of the Company, including business development, marketing, product design, R&amp;D process, market research, compliance, administration of standardized operating procedures, customer relations, and partnerships. Prior to that, he served as the Company’s Director of Operations from July 2017 to January 2019 and Chief Revenue Officer from February 2019 to January 2020, where he was tasked to build and scale company departments into effective business units and direct sales revenues strategies. He has a Bachelor of Arts from the University of California, Los Angeles, and a Juris Doctor from the University of California, Irvine, School of Law. We believe Mr. Zheng’s extensive knowledge of the Company’s internal operations qualifies him to be our Chief Operating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John Shigley</w:t>
      </w:r>
      <w:r>
        <w:rPr>
          <w:rFonts w:ascii="Times New Roman PS Std;serif" w:hAnsi="Times New Roman PS Std;serif"/>
          <w:b w:val="false"/>
          <w:i w:val="false"/>
          <w:caps w:val="false"/>
          <w:smallCaps w:val="false"/>
          <w:sz w:val="20"/>
        </w:rPr>
        <w:t xml:space="preserve"> joined our board of directors as an independent director in November 2023. Mr. Shigley is a retired Nevada certified public accountant with over 30 years of executive experience in large casino-hotels. Mr. Shigley has held various positions in finance, marketing and operations, including Chief Financial Officer of Primadonna Resorts (1998 to 2000), President of Caesars Palace (2000 to 2001), Executive Vice President of New York, New York Hotel and Casino in Las Vegas (2002 to 2005), Executive Vice President (2005 to 2011) and Chief Financial Officer (2005 to 2008) of MGM Grand Hotel Las Vegas, President of MGM Vietnam (March 2011 to April 2013), Executive Vice President of MGM Macau (May 2013 to January 2014) and Chief Operating Officer of Gaming for MGM China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2014 to February, 2019). Mr. Shigley received his B.S. in Accountancy from Northern Illinois University and spent his early career with a large international certified public accounting firm. We believe that Mr. Shigley’s experience in financial and operational management and his established network in the hospitality industry make him a qualified candidate to serve on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Mr. Stephen Markscheid </w:t>
      </w:r>
      <w:r>
        <w:rPr>
          <w:rFonts w:ascii="Times New Roman PS Std;serif" w:hAnsi="Times New Roman PS Std;serif"/>
          <w:b w:val="false"/>
          <w:i w:val="false"/>
          <w:caps w:val="false"/>
          <w:smallCaps w:val="false"/>
          <w:sz w:val="20"/>
        </w:rPr>
        <w:t>joined our board of directors as an independent director in November 2023. Mr. Markscheid has been the Managing Partner of Aerion Capital, a family office, since July 2022. He currently serves as independent non-executive director of six other publicly listed companies: Jinko Solar Inc. (NYSE: JKS), a solar panel manufacturer (since 2010); ConnectM Technology Solutions, Inc. (Nasdaq: CNTM), a technology company (since July 2024); Four Leaf Acquisition Corporation (Nasdaq: FORL), a special purpose acquisition company (since 2023); Charlton Aria Acquisition Corporation (Nasdaq: CHARU), a special purpose acquisition company (since October 2024); Pantages Acquisition Corporation (Nasdaq: PGAC), a special purpose acquisition company (since December 2024); and Starry Sea Acquisition Corporation (Nasdaq: SSEA), a special purpose acquisition company (since August 2025). Mr. Markscheid previously served as a director on numerous public boards including Cenntro Inc. (Nasdaq CENN), an electric vehicle manufacturer from 2023 to 2024, UGE International (XTSX: UGE), a solar installation company from August 2019 to July 2023, Fanhua, Inc. (Nasdaq: FANH), a financial services provider from 2007 to 2024, Kingwisoft Technology Services Ltd. (HKSE: 8295.HK), an information technology company from 2016 to 2024, and several special purpose acquisition companies. He is also a trustee emeritus of Princeton-in-Asia. From 1998 to 2006, he worked for GE Capital. During his time with GE Capital, Mr. Markscheid led GE Capital’s business development activities in China and Asia Pacific, primarily acquisitions and direct investments. Prior to GE Capital, Mr. Markscheid worked with the Boston Consulting Group throughout Asia. He was a banker for ten years in London, Chicago, New York, Hong Kong and Beijing with Chase Manhattan Bank and First National Bank of Chicago. Mr. Markscheid began his career with the US-China Business Council, in Washington D.C. and Beijing. He earned a BA in East Asian Studies from Princeton University in 1976, an MA in international affairs from Johns Hopkins University in 1980, and an MBA from Columbia University in 1991, where he was class valedictorian. We believe that Mr. Markscheid’s extensive experience serving on public boards and working with technology companies makes him a qualified candidate to serve on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Markscheid was a consolidated defendant in his capacity as a director of ChinaCast Education Corporation (“ChinaCast”) in a securities lawsuit filed on May 2, 2012 in the U.S. District Court for the Central District of California, alleging misrepresentation of ChinaCast’s financial conditions and its failure to disclose cash transfers of $120 million to certain officers and directors of ChinaCast. On November 8, 2016, the district court ruled in favor of the class action plaintiffs, finding ChinaCast was liable for $65.8 million. On August 25, 2014, a securities complaint alleging similar violations was also filed in the Delaware Court of Chancery (the “Chancery Court”) by ChinaCast, where Mr. Markscheid was named a third-party defendant. On March 23, 2015, the Chancery Court entered a judgment in favor of the plaintiff, ordering a former director of ChinaCast with damages of $183.3 million caused by breach of fiduciary duty. The former director filed a third party complaint against the other directors, including Mr. Markscheid, which was settled in December 2022.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Markscheid was a defendant in his capacity as a director of JinkoSolar Holding Co. Ltd. (“JinkoSolar”) in a class action securities lawsuit filed in October 2011. The plaintiff alleged the JinkoSolar directors of making materially false and misleading statements regarding its compliance with environmental regulations. The case was settled in March 2016.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Markscheid was a defendant in his capacity as a director of China Integrated Energy, Inc. (“CBEH”) in a class action securities lawsuit filed on June 30, 2011, where the president, officers, directors of CBEH were alleged to have disseminated materially misleading statements and failed to disclose material information concerning the CBEH’s true financial condition and business prospects (“CBEH June 2011 Case”). Mr. Markscheid was also a defendant in his capacity as a director of CBEH in a class action securities lawsuit filed on July 8, 2011, where the officers of CBEH were alleged to have made improper statements regarding its financial results and business operations, caused it to enter into non-accretive acquisitions for entities that they knew were overvalued, failed to implement an effective system of internal and financial controls, and obstructed the CBEH’s audit committee’s independent investigation (“CBEH July 2011 Case”). CBEH June 2011 Case and CBEH July 2011 Case were later consolidated, which was settled in December 2015.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Mr. Saul Factor </w:t>
      </w:r>
      <w:r>
        <w:rPr>
          <w:rFonts w:ascii="Times New Roman PS Std;serif" w:hAnsi="Times New Roman PS Std;serif"/>
          <w:b w:val="false"/>
          <w:i w:val="false"/>
          <w:caps w:val="false"/>
          <w:smallCaps w:val="false"/>
          <w:sz w:val="20"/>
        </w:rPr>
        <w:t xml:space="preserve">joined our board of directors as an independent director in November 2023. Mr. Factor has over 20 years of experience as a healthcare and pharmaceuticals executive, with experience driving business operations across various countries around the world. Mr. Factor currently serves as president of Factor Healthcare Consulting,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pharmaceuticals consulting company, which he founded in 2020. Prior to that, he served in various roles at different pharmaceuticals and healthcare companies, including serving as president of Smith Drug Company (2017 to 2020), where he directed marketing, sales, operations, and financial functions; executive vice president of strategy at Accord Healthcare (2016 to 2017); president of global sourcing &amp; procurement and senior vice president of Global Generics at McKesson Corporation (2006 to 2016); chief operating officer at RX America, LLC (2003 to 2006); and B2B Brand Manager and Leader at Eli Lily &amp; Company (2000 to 2003). Mr. Factor received a Bachelor of Science in Pharmacy from Northeastern University and a Master of Business Administration (MBA) from the University of New Haven. We believe that Mr. Factor’s executive leadership experience and specialty in fostering corporate growth make him a qualified candidate to serve on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best of the Company’s knowledge, there are no other arrangements or understandings currently existing between any director, Director Nominees or executive officer and any other person pursuant to which any person was selected as a director, Director Nominees or executive officer. There are no family relationships between any of the Company’s directors, Director Nominees or executive officers, except that Mr. Zhenqiang (Michael) Huang and Mr. Zhenwu (Wayne) Huang are brothers.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affairs are organized under the direction of our Board, which consists of five (5) members. Our directors hold office until the earlier of their death, resignation, removal, or disqualification, or until their successors have been elected and qualified. Our Board does not have a formal policy on whether the roles of Chief Executive Officer and chairman of our Board should be separate. The primary responsibilities of our Board are to provide oversight, strategic guidance, counseling, and direction to our management. Our Board meets on a regular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accordance with the terms of our Articles of Incorporation and Bylaws, our Board is divided into three (3) classes with only one class of directors being elected in each year and each class (except for those directors appointed prior to our first annual meeting of stockholders) serving a three-year term. The term of office of the first class of directors, which consists of Stephen Markscheid, who was re-elected at our first annual meeting of stockholders held on September 29, 2025, will expire at our 2028 Annual Meeting of Stockholders. The term of office of the second class of directors, which consists of Saul Factor and John Shigley, will expire at the second annual meeting of stockholders, and Messrs. Factor and Shigley are up for re-election at the Annual Meeting. The term of office of the third class of directors, which consists of Zhenwu (Wayne) Huang and Zhenqiang (Michael) Huang, will expire at the third annual meeting of stockholders. We expect that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Articles of Incorporation and Bylaws provide that the authorized number of directors may be changed only by resolution of our Board. Our Articles of Incorporation and Bylaws also provide that our directors may be removed only for cause, and only by the affirmative vote of the holders of at least sixty-six and two-thirds percent (66 2/3%) of the total voting power of the outstanding shares of capital stock of the Company entitled to vote in the election of directors, voting together as a single class, and that any vacancy on our Board, including a vacancy resulting from an enlargement of our Board, may be filled only by vote of a majority of our directors then in office.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Nasdaq Marketplace Rules require a majority of a listed company’s Board to be comprised of independent directors within one year of listing. In addition, the Nasdaq Marketplace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Rule 5605(a)(2) of the Nasdaq Marketplace Rules, a director will only qualify as an “independent director” if, in the opinion of our Board, that person does not have a relationship that would interfere with the exercise of independent judgment in carrying out the responsibilities of a director. In order to be considered independent for purposes of Rule 10A-3 of the Exchange Act, a member of an audit committee of a listed company may not, other than in his or her capacity as a member of the audit committee, the Board, or any other board committee, accept, directly or indirectly, any consulting, advisory, or other compensatory fee from the listed company or any of its subsidiaries or otherwise be an affiliated person of the listed company or any of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reviewed the composition of our Board and its committees and the independence of each director. Based upon information requested from and provided by each director concerning his background, employment and affiliations, including family relationships, our Board has determined that each of John Shigley, Stephen Markscheid and Saul Factor is an “independent director” as defined under Rule 5605(a)(2) of the Nasdaq Marketplace Rules and that John Shigley, Stephen Markscheid and Saul Factor are “independent directors.” Our Board also determined that John Shigley, Stephen Markscheid and Saul Factor, who are members of our audit committee, Stephen Markscheid and Saul Factor, who are members of our compensation committee, and Stephen Markscheid and Saul Factor, who are members of our nominating and corporate governance committee, satisfy the independence standards for such committees established by the SEC and the Nasdaq Marketplace Rules, as applicable. In making such determinations, our Board considered the relationships that each such non-employee director has with our company and all other facts and circumstances our Board deemed relevant in determining independence, including the beneficial ownership of our capital stock by each non-employee director.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established three standing committees — audit, compensation and nominating and corporate governance — each of which operates under a charter that has been approved by our Board. Copies of each committee’s charter are posted on the Investor Relations section of our website, which is located at </w:t>
      </w:r>
      <w:r>
        <w:rPr>
          <w:rFonts w:ascii="Times New Roman PS Std;serif" w:hAnsi="Times New Roman PS Std;serif"/>
          <w:b w:val="false"/>
          <w:i/>
          <w:caps w:val="false"/>
          <w:smallCaps w:val="false"/>
          <w:sz w:val="20"/>
        </w:rPr>
        <w:t>www.richtechrobotics.com</w:t>
      </w:r>
      <w:r>
        <w:rPr>
          <w:rFonts w:ascii="Times New Roman PS Std;serif" w:hAnsi="Times New Roman PS Std;serif"/>
          <w:b w:val="false"/>
          <w:i w:val="false"/>
          <w:caps w:val="false"/>
          <w:smallCaps w:val="false"/>
          <w:sz w:val="20"/>
        </w:rPr>
        <w:t>. Each committee has the composition and responsibilities described below. Our Board may from time to time establish other committees.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consists of John Shigley, who is the chair of the audit committee, Stephen Markscheid and Saul Factor. Our Board has determined that each of the members of our audit committee satisfies the Nasdaq Marketplace Rules and SEC independence requirements. The functions of this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independence and qualifications of our independent auditors and determining whether to retain our existing independent auditors or engage new independent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engagement of our independent auditors to perform audit services and any permissible non-audit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annual and quarterly financial statements and reports, including the disclosures contained under the caption “Management’s Discussion and Analysis of Financial Condition and Results of Operations,” and discussing the statements and reports with our independent auditors and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independent auditors and management significant issues that arise regarding accounting principles and financial statement presentation and matters concerning the scope, adequacy and effectiveness of our financial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major financial risk exposures, including the guidelines and policies to govern the process by which risk assessment and risk management is implemented;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evaluating on an annual basis the performance of the audit committee, including compliance of the audit committee with its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determined that John Shigley qualifies as an “audit committee financial expert” within the meaning of applicable SEC regulations and meets the financial sophistication requirements of the Nasdaq Marketplace Rules. In making this determination, our board has considered extensive financial experience and business background. Both our independent registered public accounting firm and management periodically meet privately with our audit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consists of Stephen Markscheid, who is the chair of the compensation committee, and Saul Factor. Our Board has determined that each of the members of our compensation committee is an outside director, as defined pursuant to Section 162(m) of the Code, and satisfies the Nasdaq Marketplace Rules independence requirements. The functions of this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modifying and approving (or if it deems appropriate, making recommendations to the full Board regarding) our overall compensation strategy and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the performance goals and objectives relevant to the compensation, and other terms of employment of our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(or if it deems appropriate, making recommendations to the full Board regarding) the equity incentive plans, compensation plans and similar programs advisable for us, as well as modifying, amending or terminating existing plans and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terms of any employment agreements, severance arrangements, change in control protections and any other compensatory arrangements for our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and approving our disclosures under the caption “Compensation Discussion and Analysis” in our periodic reports or proxy statements to be filed with the SEC;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report that the SEC requires in our annual proxy statement.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nominating and corporate governance committee consists of Saul Factor, who is the chair of the nominating and corporate governance committee, and Stephen Markscheid. Our Board has determined that each of the members of this committee satisfies the Nasdaq Marketplace Rules independence requirements. The functions of this committee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reviewing and evaluating candidates to serve on our Board consistent with criteria approved by our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director performance on the board and applicable committees of the board and determining whether continued service on our board is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nominating and recommending individuals for membership on our Board;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nominations by stockholders of candidates for election to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will take into account may factors in determining recommendations for persons to serve on the Board,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personal and professional integrity, ethics and values;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in corporate management, such as serving as an officer or former officer of a publicly-held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as a board member or executive officer of another publicly-held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strong finance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diversity of expertise and experience in substantive matters pertaining to our business relative to other board members;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diversity of background and perspective including, without limitation, with respect to age, gender, race, place of residence and specialized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experience relevant to our business industry and with relevant social policy concerns;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academic expertise or other proficiency in an area of our business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Attendance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9 meetings, exclusive of action by unanimous written consent, of the Board held during fiscal year 2025. Each of our directors attended all of the meetings of the Board held during fiscal year 2025, while such director was a member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4 meetings, exclusive of action by unanimous written consent, of the Audit Committee held during fiscal year 2025. Each of the committee members attended all of the meetings of the Audit Committee held during fiscal year 2025 while such committee member served on the 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1 meeting, exclusive of action by unanimous written consent, of the Compensation Committee held during fiscal year 2025. Each of the committee members attended such meeting of the Compensation Committee held during fiscal year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meetings, exclusive of action by unanimous written consent, of the Nominating and Corporate Governance Committee held during fiscal year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 Attendance at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a formal policy regarding the attendance of our board members at our annual meetings of stockholders, but we expect all directors to make every effort to attend any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Board in Risk Oversight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co-founder and Chief Executive Officer, Zhenwu (Wayne) Huang, beneficially owns approximately 51.89% of the voting power of our Common Stock as of the date hereof. Periodically, our Board assesses these roles and the Board leadership structure to ensure the interests of the Company and our stockholders are best served. Our Board has determined that its current leadership structure is appropriate. Zhenwu (Wayne) Huang, as one of our founders and as our Chief Executive Officer, has extensive knowledge of all aspects of the Company, our business and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management is responsible for assessing and managing risks to the Company, our Board is responsible for overseeing management’s efforts to assess and manage risk. This oversight is conducted primarily by our full Board, which has responsibility for general oversight of risks, and standing committees of our Board. Our Board satisfies this responsibility through full reports by each committee chair regarding the committee’s considerations and actions, as well as through regular reports directly from officers responsible for oversight of particular risks within our company. Our Board believes that full and open communication between management and the Board is essential for effective risk management and oversight.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executive officers serves, or in the past has served, as a member of the Board or compensation committee, or other committee serving an equivalent function, of any entity that has one or more executive officers who serve as members of our Board or our compensation committee. None of the members of our compensation committee is, or has ever been, an officer or employee of our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written code of business conduct and ethics that applies to our employees, officers and directors. A current copy of the code is posted on the Corporate Governance section of our website, which is located at </w:t>
      </w:r>
      <w:r>
        <w:rPr>
          <w:rFonts w:ascii="Times New Roman PS Std;serif" w:hAnsi="Times New Roman PS Std;serif"/>
          <w:b w:val="false"/>
          <w:i/>
          <w:caps w:val="false"/>
          <w:smallCaps w:val="false"/>
          <w:sz w:val="20"/>
        </w:rPr>
        <w:t>www.richtechrobotics.com</w:t>
      </w:r>
      <w:r>
        <w:rPr>
          <w:rFonts w:ascii="Times New Roman PS Std;serif" w:hAnsi="Times New Roman PS Std;serif"/>
          <w:b w:val="false"/>
          <w:i w:val="false"/>
          <w:caps w:val="false"/>
          <w:smallCaps w:val="false"/>
          <w:sz w:val="20"/>
        </w:rPr>
        <w:t>.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 or in filings with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Recovery and Clawback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13, 2023, our Board approved the adoption of the Executive Compensation Clawback Policy (the “</w:t>
      </w:r>
      <w:r>
        <w:rPr>
          <w:rFonts w:ascii="Times New Roman PS Std;serif" w:hAnsi="Times New Roman PS Std;serif"/>
          <w:b/>
          <w:i w:val="false"/>
          <w:caps w:val="false"/>
          <w:smallCaps w:val="false"/>
          <w:sz w:val="20"/>
        </w:rPr>
        <w:t>Clawback Policy</w:t>
      </w:r>
      <w:r>
        <w:rPr>
          <w:rFonts w:ascii="Times New Roman PS Std;serif" w:hAnsi="Times New Roman PS Std;serif"/>
          <w:b w:val="false"/>
          <w:i w:val="false"/>
          <w:caps w:val="false"/>
          <w:smallCaps w:val="false"/>
          <w:sz w:val="20"/>
        </w:rPr>
        <w:t>”), with an effective date of October 2, 2023, in order to comply with the final clawback rules adopted by the SEC under the Rule, and the listing standards, as set forth in the Nasdaq Listing Rule 5608 (the “</w:t>
      </w:r>
      <w:r>
        <w:rPr>
          <w:rFonts w:ascii="Times New Roman PS Std;serif" w:hAnsi="Times New Roman PS Std;serif"/>
          <w:b/>
          <w:i w:val="false"/>
          <w:caps w:val="false"/>
          <w:smallCaps w:val="false"/>
          <w:sz w:val="20"/>
        </w:rPr>
        <w:t>Final Clawback Rules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Clawback Policy provides for the mandatory recovery of erroneously awarded incentive-based compensation from our current and former executive officers as defined in the Rule (“</w:t>
      </w:r>
      <w:r>
        <w:rPr>
          <w:rFonts w:ascii="Times New Roman PS Std;serif" w:hAnsi="Times New Roman PS Std;serif"/>
          <w:b/>
          <w:i w:val="false"/>
          <w:caps w:val="false"/>
          <w:smallCaps w:val="false"/>
          <w:sz w:val="20"/>
        </w:rPr>
        <w:t>Covered Officers</w:t>
      </w:r>
      <w:r>
        <w:rPr>
          <w:rFonts w:ascii="Times New Roman PS Std;serif" w:hAnsi="Times New Roman PS Std;serif"/>
          <w:b w:val="false"/>
          <w:i w:val="false"/>
          <w:caps w:val="false"/>
          <w:smallCaps w:val="false"/>
          <w:sz w:val="20"/>
        </w:rPr>
        <w:t>”)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Section 16(a) Beneficial Ownership Reporting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16(a) of the Exchange Act requires our directors, executive officers and ten percent stockholders to file initial reports of ownership and reports of changes in ownership of our common stock with the Commission. Directors, executive officers and ten percent stockholders are also required to furnish us with copies of all Section 16(a) forms that they file. Based solely on our review of such forms furnished to us and written representations from certain reporting persons, we believe that during the year ended September 30, 2025, all reports applicable to our executive officers, directors and greater than 10% beneficial owners were filed in a timely manner in accordance with Section 16(a) of the Exchange Act, except as set forth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Phil Zheng, Chief Operating Officer, failed to timely file his Form 4 twice.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John Shigley, a director, failed to timely file his Form 4 twice.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Stephen Markscheid, a director, failed to timely file his Form 4 twice.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Saul Factor, a director, failed to timely file his Form 4 twice.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discusses the material components of the executive compensation program for our named executive officers for the years ended September 30, 2025 and 2024. Individuals we refer to as our “named executive officers” include our Chief Executive Officer and our two other most highly compensated executive officers whose salary and bonus for services rendered in all capacities exceeded $100,000 during the fiscal year ended September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named executive officers are:</w:t>
      </w:r>
    </w:p>
    <w:tbl>
      <w:tblPr>
        <w:tblW w:w="5410" w:type="dxa"/>
        <w:jc w:val="left"/>
        <w:tblInd w:w="0" w:type="dxa"/>
        <w:tblLayout w:type="fixed"/>
        <w:tblCellMar>
          <w:top w:w="0" w:type="dxa"/>
          <w:left w:w="0" w:type="dxa"/>
          <w:bottom w:w="0" w:type="dxa"/>
          <w:right w:w="0" w:type="dxa"/>
        </w:tblCellMar>
      </w:tblPr>
      <w:tblGrid>
        <w:gridCol w:w="211"/>
        <w:gridCol w:w="146"/>
        <w:gridCol w:w="2521"/>
        <w:gridCol w:w="146"/>
        <w:gridCol w:w="2386"/>
      </w:tblGrid>
      <w:tr>
        <w:trPr/>
        <w:tc>
          <w:tcPr>
            <w:tcW w:w="21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Zhenwu (Wayne) Huang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21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Matthew Casella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w:t>
            </w:r>
          </w:p>
        </w:tc>
      </w:tr>
      <w:tr>
        <w:trPr/>
        <w:tc>
          <w:tcPr>
            <w:tcW w:w="211"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Phil Zheng </w:t>
            </w:r>
          </w:p>
        </w:tc>
        <w:tc>
          <w:tcPr>
            <w:tcW w:w="146" w:type="dxa"/>
            <w:tcBorders/>
            <w:vAlign w:val="center"/>
          </w:tcPr>
          <w:p>
            <w:pPr>
              <w:pStyle w:val="TableContents"/>
              <w:bidi w:val="0"/>
              <w:spacing w:before="0" w:after="283"/>
              <w:jc w:val="left"/>
              <w:rPr/>
            </w:pPr>
            <w:r>
              <w:rPr/>
              <w:t> </w:t>
            </w:r>
          </w:p>
        </w:tc>
        <w:tc>
          <w:tcPr>
            <w:tcW w:w="238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compensation awarded to or earned by or paid to our named executive officers during the fiscal years ended September 30, 2025 and 2024.</w:t>
      </w:r>
    </w:p>
    <w:tbl>
      <w:tblPr>
        <w:tblW w:w="11379" w:type="dxa"/>
        <w:jc w:val="left"/>
        <w:tblInd w:w="0" w:type="dxa"/>
        <w:tblLayout w:type="fixed"/>
        <w:tblCellMar>
          <w:top w:w="0" w:type="dxa"/>
          <w:left w:w="0" w:type="dxa"/>
          <w:bottom w:w="0" w:type="dxa"/>
          <w:right w:w="0" w:type="dxa"/>
        </w:tblCellMar>
      </w:tblPr>
      <w:tblGrid>
        <w:gridCol w:w="1006"/>
        <w:gridCol w:w="146"/>
        <w:gridCol w:w="586"/>
        <w:gridCol w:w="146"/>
        <w:gridCol w:w="286"/>
        <w:gridCol w:w="946"/>
        <w:gridCol w:w="146"/>
        <w:gridCol w:w="751"/>
        <w:gridCol w:w="146"/>
        <w:gridCol w:w="856"/>
        <w:gridCol w:w="146"/>
        <w:gridCol w:w="1501"/>
        <w:gridCol w:w="146"/>
        <w:gridCol w:w="1501"/>
        <w:gridCol w:w="146"/>
        <w:gridCol w:w="1501"/>
        <w:gridCol w:w="146"/>
        <w:gridCol w:w="286"/>
        <w:gridCol w:w="991"/>
      </w:tblGrid>
      <w:tr>
        <w:trPr/>
        <w:tc>
          <w:tcPr>
            <w:tcW w:w="100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w:t>
              <w:br/>
              <w:t>(FY)</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Salary </w:t>
              <w:br/>
              <w:t>($)</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w:t>
              <w:br/>
              <w:t>($)</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Awards </w:t>
              <w:b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Non-Equity </w:t>
              <w:br/>
              <w:t xml:space="preserve">Incentive Plan </w:t>
              <w:br/>
              <w:t xml:space="preserve">Compensation </w:t>
              <w:b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Nonqualified </w:t>
              <w:br/>
              <w:t xml:space="preserve">Deferred </w:t>
              <w:br/>
              <w:t xml:space="preserve">Compensation </w:t>
              <w:br/>
              <w:t xml:space="preserve">Earnings </w:t>
              <w:b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All Other </w:t>
              <w:br/>
              <w:t xml:space="preserve">Compensation </w:t>
              <w:br/>
              <w:t>($)</w:t>
            </w:r>
          </w:p>
        </w:tc>
        <w:tc>
          <w:tcPr>
            <w:tcW w:w="146" w:type="dxa"/>
            <w:tcBorders/>
            <w:vAlign w:val="center"/>
          </w:tcPr>
          <w:p>
            <w:pPr>
              <w:pStyle w:val="TableContents"/>
              <w:bidi w:val="0"/>
              <w:spacing w:before="0" w:after="283"/>
              <w:jc w:val="left"/>
              <w:rPr/>
            </w:pPr>
            <w:r>
              <w:rPr/>
              <w:t> </w:t>
            </w:r>
          </w:p>
        </w:tc>
        <w:tc>
          <w:tcPr>
            <w:tcW w:w="1277"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w:t>
            </w:r>
          </w:p>
        </w:tc>
      </w:tr>
      <w:tr>
        <w:trPr/>
        <w:tc>
          <w:tcPr>
            <w:tcW w:w="100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Zhenwu (Wayne) Huang</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126,000</w:t>
            </w:r>
          </w:p>
        </w:tc>
        <w:tc>
          <w:tcPr>
            <w:tcW w:w="146"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126,000</w:t>
            </w:r>
          </w:p>
        </w:tc>
      </w:tr>
      <w:tr>
        <w:trPr/>
        <w:tc>
          <w:tcPr>
            <w:tcW w:w="1006" w:type="dxa"/>
            <w:tcBorders/>
            <w:shd w:fill="CCEEFF" w:val="clear"/>
            <w:vAlign w:val="center"/>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CEO</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120,000</w:t>
            </w:r>
          </w:p>
        </w:tc>
        <w:tc>
          <w:tcPr>
            <w:tcW w:w="146"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120,000</w:t>
            </w:r>
          </w:p>
        </w:tc>
      </w:tr>
      <w:tr>
        <w:trPr/>
        <w:tc>
          <w:tcPr>
            <w:tcW w:w="1006" w:type="dxa"/>
            <w:tcBorders/>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Phil Zheng</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125,389</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125,389</w:t>
            </w:r>
          </w:p>
        </w:tc>
      </w:tr>
      <w:tr>
        <w:trPr/>
        <w:tc>
          <w:tcPr>
            <w:tcW w:w="1006" w:type="dxa"/>
            <w:tcBorders/>
            <w:vAlign w:val="center"/>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COO</w:t>
            </w:r>
          </w:p>
        </w:tc>
        <w:tc>
          <w:tcPr>
            <w:tcW w:w="146" w:type="dxa"/>
            <w:tcBorders/>
            <w:vAlign w:val="center"/>
          </w:tcPr>
          <w:p>
            <w:pPr>
              <w:pStyle w:val="TableContents"/>
              <w:bidi w:val="0"/>
              <w:spacing w:before="0" w:after="283"/>
              <w:jc w:val="left"/>
              <w:rPr/>
            </w:pPr>
            <w:r>
              <w:rPr/>
              <w:t> </w:t>
            </w:r>
          </w:p>
        </w:tc>
        <w:tc>
          <w:tcPr>
            <w:tcW w:w="58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133,717</w:t>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50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133,717</w:t>
            </w:r>
          </w:p>
        </w:tc>
      </w:tr>
      <w:tr>
        <w:trPr/>
        <w:tc>
          <w:tcPr>
            <w:tcW w:w="1006" w:type="dxa"/>
            <w:tcBorders/>
            <w:shd w:fill="CCEEFF" w:val="clear"/>
            <w:vAlign w:val="center"/>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Matthew Casella</w:t>
            </w:r>
            <w:r>
              <w:rPr>
                <w:rFonts w:ascii="Times New Roman PS Std;serif" w:hAnsi="Times New Roman PS Std;serif"/>
                <w:b w:val="false"/>
                <w:i w:val="false"/>
                <w:caps w:val="false"/>
                <w:smallCaps w:val="false"/>
                <w:sz w:val="12"/>
              </w:rPr>
              <w:t>(1)</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2025</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185,000</w:t>
            </w:r>
          </w:p>
        </w:tc>
        <w:tc>
          <w:tcPr>
            <w:tcW w:w="146"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185,000</w:t>
            </w:r>
          </w:p>
        </w:tc>
      </w:tr>
      <w:tr>
        <w:trPr/>
        <w:tc>
          <w:tcPr>
            <w:tcW w:w="1006" w:type="dxa"/>
            <w:tcBorders/>
            <w:shd w:fill="CCEEFF" w:val="clear"/>
            <w:vAlign w:val="center"/>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President</w:t>
            </w:r>
          </w:p>
        </w:tc>
        <w:tc>
          <w:tcPr>
            <w:tcW w:w="146"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2024</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168,654</w:t>
            </w:r>
          </w:p>
        </w:tc>
        <w:tc>
          <w:tcPr>
            <w:tcW w:w="146" w:type="dxa"/>
            <w:tcBorders/>
            <w:shd w:fill="CCEEFF" w:val="clear"/>
            <w:vAlign w:val="center"/>
          </w:tcPr>
          <w:p>
            <w:pPr>
              <w:pStyle w:val="TableContents"/>
              <w:bidi w:val="0"/>
              <w:spacing w:before="0" w:after="283"/>
              <w:jc w:val="left"/>
              <w:rPr/>
            </w:pPr>
            <w:r>
              <w:rPr/>
              <w:t> </w:t>
            </w:r>
          </w:p>
        </w:tc>
        <w:tc>
          <w:tcPr>
            <w:tcW w:w="75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50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168,654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Matthew Casella resigned on December 2,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to Summary Compensation Table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September 30, 2025, the Company maintained written employment agreements with its Chief Executive Officer, Chief Financial Officer, Chief Operating Officer and President. These employment agreements set forth the terms and conditions of employment, including compensation, benefits, and certain post-termination obligations. Each agreement provides for paid holidays, health insurance eligibility, and severance benefits, if any, as required by applicable law. Following termination of employment, the executives agreed to refrain from (i) hiring or attempting to hire any current employees of the Company; and (ii) soliciting business from current clients or clients who have retained the Company in the 6-month period immediately preceding the employment termination.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 with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CEO employment agreement was entered as of July 1, 2016. Initially, the CEO annual base salary was $120,000, and for the fiscal year ended September 30, 2024, the annual base salary for Mr. Zhenwu (Wayne) Huang was $120,000. Upon termination of employment without cause, the Company is required to pay to Mr. Zhenwu (Wayne) Huang an amount as required by the Employment Standards Act 2000 or other such legislation as may be in effect at the time of termination. This payment shall constitute the employee’s entire entitlement arising from said termination. The agreement provides for a non-solicitation period of six (6) months following the termination of employment.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 with Chief Operating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COO employment agreement was entered as of July 2, 2020. Initially, Mr. Zheng was paid an hourly rate of $50 per hour, and for the fiscal year ended September 30, 2024, the annual base salary for Mr. Zheng was $133,717. On November 20, 2024, Mr. Zheng was granted 200,000 shares of Class B Common Stock. Upon termination of employment without cause, the Company is required to pay to Mr. Zheng an amount as required by the Employment Standards Act 2000 or other such legislation as may be in effect at the time of termination. This payment shall constitute the employee’s entire entitlement arising from said termination. The agreement provides for a non-solicitation period of six (6) months following the termination of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2024, Mr. Zheng was granted 200,000 shares of Class B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Agreement with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President employment agreement was entered as of August 15, 2023.The agreement entitles the President to an annual base salary of $100,000. For the fiscal year ended September 30, 2025, the annual base salary for Mr. Casella was $185,000. Under the terms of the agreement, the annual stock option grant will follow a “50+70” plan, where 50,000 shares will be granted as vested stock options after one year of service, and an additional 70,000 shares will be granted based on the completion of annual performance targets. On November 20, 2024, Mr. Casella was granted 60,000 shares of Class B Common Stock. Upon termination of employment without cause, the Company is required to pay to Mr. Casella an amount as required by the Employment Standards Act 2000 or other such legislation as may be in effect at the time of termination. This payment shall constitute the employee’s entire entitlement arising from said termination. The agreement provides for a non-competition and period of twelve (12) months following the termination of employment and an indefinite non-solicitation restriction.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 2025, Matthew Casella resigned from his position of President of the Company, effective immediately. Mr. Casella’s departure was not in connection with any disagreements with the Company. In connection with Mr. Casella’s transition, the Company has entered into a mutual separation agreement (the “Separation Agreement”) with Mr. Casella, pursuant to which the company shall pay Mr. Casella (i) $32,019.23, representing payment for severance, earned personal time off and accrued unpaid salary, (ii) a performance bonus of $35,000, and (iii) 60,000 restricted shares of Class B Common Stock of the Company. Pursuant to the Separation Agreement, Mr. Casella will continue to serve as a consultant to the Company for a period of twelve (12) months following his separation date, in consideration for which the Company will pay him 50,000 restricted shares of Class B Common Stock, to be issued in four (4) equal installments on a quarterly basis through December 2026. Further, the Company has waived and released Mr. Casella from any non-competition restrictions contained in prior employment agreements, but Mr. Casella will continue to be subject to other applicable continuing obligations post-employment under his original employment agreement with the Company. The Separation Agreement also contains a mutual release of claims.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outstanding equity incentive plan awards for the named executive officers as of September 30,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our Board and the holders of a majority of the voting power of the outstanding Class B Common Stock of the Company adopted resolutions by written consent to approve and adopt the Second Amended and Restated Richtech Robotics Inc. 2023 Stock Option Plan (the “Incentive Plan”), pursuant to the Company’s Bylaws and Nevada law. The principal purposes of the Incentive Plan are to: (a) attract and retain the best available personnel for positions of substantial responsibility; (b) provide additional incentive to employees, directors, and consultants; and (c) promote the success of the business of the Company. The following description of the principal terms of the Incentive Plan is a summary of the terms of the Incentive Plan and is qualified in its entirety by the full text of the Incentive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 of the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or a committee appointed by the Board will administer the Incentive Plan. The plan administrator has broad authority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 participants and determine the types of awards that they are to receive;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number of shares that are to be subject to awards and the terms and conditions of awards, including the price (if any) to be paid for the shares or the award and establish the vesting conditions (if applicable) of such shares or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cancel, modify, or waive our rights with respect to, or modify, discontinue, suspend, or terminate any or all outstanding awards, subject to any required consents;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 the exercise price of an option if the fair market value of shares covered by such option has declined since the date the option was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whether an option will be settled in cash instead of shares;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construe and interpret the terms of the Incentive Plan and any agreements relating to the Incentive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Shares Subject to the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aggregate of 6,000,000 shares of Class B Common Stock was initially reserved under the original Incentive Plan. The number of shares authorized for issuance under the amended and restated Incentive Plan was subsequently increased from 6,000,000 shares to 14,311,215 shares, effective October 23, 2024. Effective as of November 10, 2025, the Company adopted the Second Amended and Restated Incentive Plan, which includes an “evergreen” provision pursuant to which the number of shares reserved for grant and issuance under the Incentive Plan automatically increases on the later of November 1, 2025 or the effective date of the Second Amended and Restated Incentive Plan, and on each subsequent November 1 through and including November 1, 2034, by a number of shares equal to the lesser of (i) 18% of the total outstanding shares of Class B Common Stock as of the immediately preceding September 30, or (ii) such smaller number as determined by the Board. In connection with an increase in the number of shares available for issuance pursuant to the evergreen provision, an additional 8,000,000 shares of Class B Common Stock were registered for issuance under the Incentive Plan on February 17, 2026, increasing the total number of shares authorized for issuance under the Incentive Plan from 14,311,215 shares to 22,311,215 shares. As of June 30, 2026, 6,858,048 shares remained available for future grants under the Incentive Plan. If an option should expire or become unexercisable for any reason without having been exercised in full or no shares are issued with respect to an award, the shares underlying that award will again become available for issuance under the Incentive Plan. All of the shares available under the Incentive Plan may be issued upon the exercise of incentive stock options.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directors, and consultants that provide services to us or one of our subsidiaries may be selected to receive awards under the Incentive Plan. Incentive stock options may only be granted under the Incentive Plan to persons who, at the time of the grant, are employees of our Company or our subsidiaries.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Plan permits the granting of awards in the form of stock options and stock purchase rights, which include restricted stock awards and 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Stock Options.    </w:t>
      </w:r>
      <w:r>
        <w:rPr>
          <w:rFonts w:ascii="Times New Roman PS Std;serif" w:hAnsi="Times New Roman PS Std;serif"/>
          <w:b w:val="false"/>
          <w:i w:val="false"/>
          <w:caps w:val="false"/>
          <w:smallCaps w:val="false"/>
          <w:sz w:val="20"/>
        </w:rPr>
        <w:t>A stock option entitles the recipient to purchase shares of Class B Common Stock at a fixed exercise price. The exercise price per share will be determined by the plan administrator in the applicable award agreement in its sole discretion at the time of the grant. The exercise price can be paid in cash, check, net exercise, any consideration permissible under applicable law, or any combination of the foregoing. The maximum term of each stock option shall be fixed by the plan administrator, but in no event shall an option be exercisable more than ten (10) years after the date such option is granted.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plan administrator may grant share options that qualify as “incentive stock options,” as described in Section 422 of the Code. The exercise price per share for an incentive stock option may not be less than 100% of the fair market value of a share of Class B Common Stock on the date of the grant. However, for an incentive stock option granted to a person possessing more than 10% of the total combined voting power of all classes of our shares, the exercise price may not be less than 110% of the fair market value of a share of Class B Common Stock on the date of grant and the option term may not exceed five (5) years. The aggregate fair market value of all shares with respect to which incentive stock options are exercisable by any one individual participant for the first time during any calendar year (under all of the plans of the Company, including the Incentive Plan), measured at the date of the grant, may not exceed $100,000.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w:t>
      </w:r>
      <w:r>
        <w:rPr>
          <w:rFonts w:ascii="Times New Roman PS Std;serif" w:hAnsi="Times New Roman PS Std;serif"/>
          <w:b w:val="false"/>
          <w:i w:val="false"/>
          <w:caps w:val="false"/>
          <w:smallCaps w:val="false"/>
          <w:sz w:val="20"/>
        </w:rPr>
        <w:t>A restricted stock award is an award of Class B Common Stock that vests in accordance with the terms and conditions established by the plan administrator. The plan administrator will determine the persons to whom grants of restricted stock are made, the number of shares to be awarded, the price (if any) to be paid for the restricted stock, the time or times within which awards of restricted stock may be subject to forfeiture, the vesting schedule and rights to acceleration thereof, and all other terms and conditions of restricted stock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Restricted Stock Units.    </w:t>
      </w:r>
      <w:r>
        <w:rPr>
          <w:rFonts w:ascii="Times New Roman PS Std;serif" w:hAnsi="Times New Roman PS Std;serif"/>
          <w:b w:val="false"/>
          <w:i w:val="false"/>
          <w:caps w:val="false"/>
          <w:smallCaps w:val="false"/>
          <w:sz w:val="20"/>
        </w:rPr>
        <w:t>Restricted stock units are the right to receive shares of Class B Common Stock at a future date in accordance with the terms of such grant upon the attainment of certain conditions specified by the plan administrator. Restrictions or conditions could include, but are not limited to, the attainment of performance goals, continuous service with our Company, the passage of time, or other restrictions or conditions. The plan administrator determines the persons to whom grants of restricted stock units are made, the number of restricted stock units to be awarded, the time or times within which awards of restricted stock units may be subject to forfeiture, the vesting schedule and rights to acceleration thereof, and all other terms and conditions of the restricted stock unit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restricted stock units will have no voting rights. Prior to settlement or forfeiture, restricted stock units awarded under the Incentive Plan may, at the plan administrator’s discretion, provide for a right to dividend equivalents. Such right entitles the holder to be credited with an amount equal to all dividends paid on one share of Class B Common Stock while each restricted stock unit is outstanding. Dividend equivalents may be converted into additional restricted stock units. Settlement of dividend equivalents may be made in the form of cash, shares, other securities, other property, or a combination of the foregoing. Prior to distribution, any dividend equivalents shall be subject to the same conditions and restrictions as the restricted stock units to which they are payable.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Equitable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stock split, reverse stock split, stock dividend, combination, recapitalization or reclassification of shares of Class B Common Stock,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shares covered by outstanding awards made under the Incentive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any proposed change in control (as described in the Incentive Plan), the plan administrator will take any action as it deems appropriate, which action may include, without limitation, the following: (i) the continuation of any award, if the Company is the surviving corporation; (ii) the assumption of any award by the surviving corporation or its parent or subsidiary; (iii) the substitution by the surviving corporation or its parent or subsidiary of equivalent awards; or (iv) accelerated vesting of the award and a limited period during which to exercise the award prior to closing of the change in control.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award may not be sold, pledged, assigned, hypothecated, transferred, or disposed of in any manner, other than by will or by the laws of descent or distribution, and may be exercised or purchased during the lifetime of the participant, only by the participant.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Plan became effective upon adoption by the Board on November 16, 2023 and, unless terminated, the Incentive Plan will continue in effect for a term of ten (10) years.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may amend, alter, suspend, or discontinue the Incentive Plan at any time. Any such termination will not affect outstanding awards. No amendment, alteration, suspension, or discontinuation of the Incentive Plan will impair the rights of any participant without the participant’s consent.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Non-employee directors receive annual awards of restricted shares of Class B common stock. In fiscal year 2025, our non-employee directors each received an aggregate of 28,000 shares of our Class B common stock, which vested as described below. Subsequent awards may be adjusted by the compensation committee of the board of directors based on then-current market conditions considering the size of the Company. We will also reimburse our non-employee directors for certain expenses incurred in connection with their duties as directors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20, 2024, the Company issued 10,000 shares of its Class B common stock to each of its non-employee directors. These shares were issued at a price of $0.53 per share, reflecting the closing market price on the date of grant, and vested immediately.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17, 2025, the Company granted a total of 18,000 restricted shares of Class B common stock to each of its non-employee directors at a grant date fair value of $2.75 per share. These shares vested in three equal installments of 6,000 shares on February 17, 2025, May 17, 2025, and August 17, 2025. The total value of the stock issued to each director during the fiscal year was $54,800.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compensation paid to our non-employee directors during the year ended September 30, 2025.</w:t>
      </w:r>
    </w:p>
    <w:tbl>
      <w:tblPr>
        <w:tblW w:w="10205" w:type="dxa"/>
        <w:jc w:val="left"/>
        <w:tblInd w:w="0" w:type="dxa"/>
        <w:tblLayout w:type="fixed"/>
        <w:tblCellMar>
          <w:top w:w="0" w:type="dxa"/>
          <w:left w:w="0" w:type="dxa"/>
          <w:bottom w:w="0" w:type="dxa"/>
          <w:right w:w="0" w:type="dxa"/>
        </w:tblCellMar>
      </w:tblPr>
      <w:tblGrid>
        <w:gridCol w:w="984"/>
        <w:gridCol w:w="146"/>
        <w:gridCol w:w="354"/>
        <w:gridCol w:w="504"/>
        <w:gridCol w:w="146"/>
        <w:gridCol w:w="858"/>
        <w:gridCol w:w="146"/>
        <w:gridCol w:w="858"/>
        <w:gridCol w:w="146"/>
        <w:gridCol w:w="1488"/>
        <w:gridCol w:w="146"/>
        <w:gridCol w:w="1488"/>
        <w:gridCol w:w="146"/>
        <w:gridCol w:w="1488"/>
        <w:gridCol w:w="146"/>
        <w:gridCol w:w="286"/>
        <w:gridCol w:w="875"/>
      </w:tblGrid>
      <w:tr>
        <w:trPr/>
        <w:tc>
          <w:tcPr>
            <w:tcW w:w="98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Fees </w:t>
              <w:br/>
              <w:t xml:space="preserve">Earned </w:t>
              <w:br/>
              <w:t xml:space="preserve">or Paid </w:t>
              <w:br/>
              <w:t xml:space="preserve">in Cash </w:t>
              <w:br/>
              <w:t>($)</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Stock </w:t>
              <w:br/>
              <w:t xml:space="preserve">Awards </w:t>
              <w:br/>
              <w:t>($)</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Awards </w:t>
              <w:br/>
              <w:t>($)</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Nonequity </w:t>
              <w:br/>
              <w:t xml:space="preserve">incentive </w:t>
              <w:br/>
              <w:t xml:space="preserve">plan </w:t>
              <w:br/>
              <w:t xml:space="preserve">compensation </w:t>
              <w:br/>
              <w:t>($)</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Nonqualified </w:t>
              <w:br/>
              <w:t xml:space="preserve">deferred </w:t>
              <w:br/>
              <w:t xml:space="preserve">compensation </w:t>
              <w:br/>
              <w:t xml:space="preserve">earnings </w:t>
              <w:br/>
              <w:t>($)</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All other </w:t>
              <w:br/>
              <w:t xml:space="preserve">compensation </w:t>
              <w:br/>
              <w:t>($)</w:t>
            </w:r>
          </w:p>
        </w:tc>
        <w:tc>
          <w:tcPr>
            <w:tcW w:w="146"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w:t>
            </w:r>
          </w:p>
        </w:tc>
      </w:tr>
      <w:tr>
        <w:trPr/>
        <w:tc>
          <w:tcPr>
            <w:tcW w:w="9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John Shigley</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5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54,800</w:t>
            </w:r>
          </w:p>
        </w:tc>
        <w:tc>
          <w:tcPr>
            <w:tcW w:w="14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87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54,800</w:t>
            </w:r>
          </w:p>
        </w:tc>
      </w:tr>
      <w:tr>
        <w:trPr/>
        <w:tc>
          <w:tcPr>
            <w:tcW w:w="984"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Stephen Markscheid</w:t>
            </w:r>
          </w:p>
        </w:tc>
        <w:tc>
          <w:tcPr>
            <w:tcW w:w="146" w:type="dxa"/>
            <w:tcBorders/>
            <w:vAlign w:val="center"/>
          </w:tcPr>
          <w:p>
            <w:pPr>
              <w:pStyle w:val="TableContents"/>
              <w:bidi w:val="0"/>
              <w:spacing w:before="0" w:after="283"/>
              <w:jc w:val="left"/>
              <w:rPr/>
            </w:pPr>
            <w:r>
              <w:rPr/>
              <w:t> </w:t>
            </w:r>
          </w:p>
        </w:tc>
        <w:tc>
          <w:tcPr>
            <w:tcW w:w="3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0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54,800</w:t>
            </w:r>
          </w:p>
        </w:tc>
        <w:tc>
          <w:tcPr>
            <w:tcW w:w="146" w:type="dxa"/>
            <w:tcBorders/>
            <w:vAlign w:val="center"/>
          </w:tcPr>
          <w:p>
            <w:pPr>
              <w:pStyle w:val="TableContents"/>
              <w:bidi w:val="0"/>
              <w:spacing w:before="0" w:after="283"/>
              <w:jc w:val="left"/>
              <w:rPr/>
            </w:pPr>
            <w:r>
              <w:rPr/>
              <w:t> </w:t>
            </w:r>
          </w:p>
        </w:tc>
        <w:tc>
          <w:tcPr>
            <w:tcW w:w="85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54,800</w:t>
            </w:r>
          </w:p>
        </w:tc>
      </w:tr>
      <w:tr>
        <w:trPr/>
        <w:tc>
          <w:tcPr>
            <w:tcW w:w="984"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Saul Factor</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0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54,800</w:t>
            </w:r>
          </w:p>
        </w:tc>
        <w:tc>
          <w:tcPr>
            <w:tcW w:w="146"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SECURITY OWNERSHIP OF CERTAIN BENEFICIAL OWNER AND MANAGEMENT AND </w:t>
        <w:br/>
        <w:t>RELATED STOCKHOLDER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known to the Company regarding beneficial ownership of shares of the Company’s Class A Common Stock and Class B Common Stock as of August 25, 2026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by the Company to be the beneficial owner of more than 5% of the Company’s outstanding Class A Common Stock and Class B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the Company’s named executive officers and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executive officers and directors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beneficial ownership is based on 225,101,943 shares of Common Stock issued and outstanding as of August 25, 2026, which calculation includes (i) 39,934,846 shares of the Company’s Class A Common Stock and (ii) 185,167,097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ten (10) votes per share on all matters submitted to the stockholders for their vote or approval. Holders of Class B Common Stock are entitled to one (1) vote per share on all matters submitted to stockholders for their vote 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SEC rules, shares of our Class A Common Stock which may be acquired upon exercise of stock options or warrants which are currently exercisable or which become exercisable within sixty (60) days after August 25, 2026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of the entities, directors and executives in this table is 2975 Lincoln Rd, Las Vegas, NV 89115. Unless otherwise indicated and subject to community property laws and similar laws, the Company believes that all parties named in the table below have sole voting and investment power with respect to all shares of Common Stock beneficially owned by them.</w:t>
      </w:r>
    </w:p>
    <w:tbl>
      <w:tblPr>
        <w:tblW w:w="9171" w:type="dxa"/>
        <w:jc w:val="left"/>
        <w:tblInd w:w="0" w:type="dxa"/>
        <w:tblLayout w:type="fixed"/>
        <w:tblCellMar>
          <w:top w:w="0" w:type="dxa"/>
          <w:left w:w="0" w:type="dxa"/>
          <w:bottom w:w="0" w:type="dxa"/>
          <w:right w:w="0" w:type="dxa"/>
        </w:tblCellMar>
      </w:tblPr>
      <w:tblGrid>
        <w:gridCol w:w="5026"/>
        <w:gridCol w:w="146"/>
        <w:gridCol w:w="1246"/>
        <w:gridCol w:w="146"/>
        <w:gridCol w:w="1186"/>
        <w:gridCol w:w="146"/>
        <w:gridCol w:w="821"/>
        <w:gridCol w:w="454"/>
      </w:tblGrid>
      <w:tr>
        <w:trPr/>
        <w:tc>
          <w:tcPr>
            <w:tcW w:w="502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Owner(1)</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Class A </w:t>
              <w:br/>
              <w:t xml:space="preserve">Common </w:t>
              <w:br/>
              <w:t>Stock</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Class B </w:t>
              <w:br/>
              <w:t xml:space="preserve">Common </w:t>
              <w:br/>
              <w:t>Stock</w:t>
            </w:r>
          </w:p>
        </w:tc>
        <w:tc>
          <w:tcPr>
            <w:tcW w:w="146" w:type="dxa"/>
            <w:tcBorders/>
            <w:vAlign w:val="center"/>
          </w:tcPr>
          <w:p>
            <w:pPr>
              <w:pStyle w:val="TableContents"/>
              <w:bidi w:val="0"/>
              <w:spacing w:before="0" w:after="283"/>
              <w:jc w:val="left"/>
              <w:rPr/>
            </w:pPr>
            <w:r>
              <w:rPr/>
              <w:t> </w:t>
            </w:r>
          </w:p>
        </w:tc>
        <w:tc>
          <w:tcPr>
            <w:tcW w:w="127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Total </w:t>
              <w:br/>
              <w:t xml:space="preserve">Voting </w:t>
              <w:br/>
              <w:t>Power</w:t>
            </w:r>
          </w:p>
        </w:tc>
      </w:tr>
      <w:tr>
        <w:trPr/>
        <w:tc>
          <w:tcPr>
            <w:tcW w:w="5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Zhenwu Huang(2)</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30,308,000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220,000</w:t>
            </w:r>
          </w:p>
        </w:tc>
        <w:tc>
          <w:tcPr>
            <w:tcW w:w="146" w:type="dxa"/>
            <w:tcBorders/>
            <w:vAlign w:val="center"/>
          </w:tcPr>
          <w:p>
            <w:pPr>
              <w:pStyle w:val="TableContents"/>
              <w:bidi w:val="0"/>
              <w:spacing w:before="0" w:after="283"/>
              <w:jc w:val="left"/>
              <w:rPr/>
            </w:pPr>
            <w:r>
              <w:rPr/>
              <w:t> </w:t>
            </w:r>
          </w:p>
        </w:tc>
        <w:tc>
          <w:tcPr>
            <w:tcW w:w="8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51.89</w:t>
            </w:r>
          </w:p>
        </w:tc>
        <w:tc>
          <w:tcPr>
            <w:tcW w:w="4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Zhenqiang Huang(3)</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7,892,000</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220,000</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13.53</w:t>
            </w:r>
          </w:p>
        </w:tc>
        <w:tc>
          <w:tcPr>
            <w:tcW w:w="454"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Phil Zheng(4)</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1,378,000</w:t>
            </w:r>
          </w:p>
        </w:tc>
        <w:tc>
          <w:tcPr>
            <w:tcW w:w="146" w:type="dxa"/>
            <w:tcBorders/>
            <w:vAlign w:val="center"/>
          </w:tcPr>
          <w:p>
            <w:pPr>
              <w:pStyle w:val="TableContents"/>
              <w:bidi w:val="0"/>
              <w:spacing w:before="0" w:after="283"/>
              <w:jc w:val="left"/>
              <w:rPr/>
            </w:pPr>
            <w:r>
              <w:rPr/>
              <w:t> </w:t>
            </w:r>
          </w:p>
        </w:tc>
        <w:tc>
          <w:tcPr>
            <w:tcW w:w="8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Shigley</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Stephen Markscheid</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w:t>
            </w:r>
          </w:p>
        </w:tc>
        <w:tc>
          <w:tcPr>
            <w:tcW w:w="146" w:type="dxa"/>
            <w:tcBorders/>
            <w:vAlign w:val="center"/>
          </w:tcPr>
          <w:p>
            <w:pPr>
              <w:pStyle w:val="TableContents"/>
              <w:bidi w:val="0"/>
              <w:spacing w:before="0" w:after="283"/>
              <w:jc w:val="left"/>
              <w:rPr/>
            </w:pPr>
            <w:r>
              <w:rPr/>
              <w:t> </w:t>
            </w:r>
          </w:p>
        </w:tc>
        <w:tc>
          <w:tcPr>
            <w:tcW w:w="8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4"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Saul Factor</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64,000</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54"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All officers and directors as a group (6 individuals)</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38,200,000</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2,010,000</w:t>
            </w:r>
          </w:p>
        </w:tc>
        <w:tc>
          <w:tcPr>
            <w:tcW w:w="146" w:type="dxa"/>
            <w:tcBorders/>
            <w:vAlign w:val="center"/>
          </w:tcPr>
          <w:p>
            <w:pPr>
              <w:pStyle w:val="TableContents"/>
              <w:bidi w:val="0"/>
              <w:spacing w:before="0" w:after="283"/>
              <w:jc w:val="left"/>
              <w:rPr/>
            </w:pPr>
            <w:r>
              <w:rPr/>
              <w:t> </w:t>
            </w:r>
          </w:p>
        </w:tc>
        <w:tc>
          <w:tcPr>
            <w:tcW w:w="8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65.70</w:t>
            </w:r>
          </w:p>
        </w:tc>
        <w:tc>
          <w:tcPr>
            <w:tcW w:w="45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454"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noted otherwise, the address of all listed stockholder is 2975 Lincoln Rd, Las Vegas, NV 89115. Each of the stockholders listed has sole voting and investment power with respect to the shares beneficially owned by the stockholder unless noted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Includes 400,000 restricted shares of Class B common stock granted by the board of directors on December 4, 2025, which shares vested immediately and which were issued, less 180,000 shares of Class B common stock withheld by the Company for tax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400,000 restricted shares of Class B common stock granted by the board of directors on December 4, 2025, which shares vested immediately and which were issued, less 180,000 shares of Class B common stock withheld by the Company for tax purposes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Includes 600,000 restricted shares of Class B common stock granted by the board of directors on December 4, 2025, which shares vested immediately and which were issued, less 222,000 shares of Class B common stock withheld by the Company for tax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Relationships and Related Transactions, and Director Independence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related party transactions during the year ended September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Policies and Procedures for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future transactions between us and our officers, directors or five percent stockholders, and respective affiliates will be on terms no less favorable than could be obtained from unaffiliated third parties and will be approved by a majority of our independent directors who do not have an interest in the transactions and who had access, at our expense, to our legal counsel or independent legal counsel.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is responsible for determining the independence of our directors. For purposes of determining director independence, our board of directors has applied the definitions set forth in NASDAQ Rule 5605(a)(2) and the related rules of the SEC. Based upon its evaluation, our board of directors has affirmatively determined that the following directors meet the standards of independence: John Shigley, Stephen Markscheid and Saul Factor.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99504"/>
      <w:bookmarkEnd w:id="6"/>
      <w:r>
        <w:rPr>
          <w:rFonts w:ascii="Times New Roman PS Std;serif" w:hAnsi="Times New Roman PS Std;serif"/>
          <w:b/>
          <w:i w:val="false"/>
          <w:caps/>
          <w:sz w:val="20"/>
        </w:rPr>
        <w:t xml:space="preserve">PROPOSAL 2 </w:t>
        <w:br/>
        <w:t>RATIFICATION OF THE APPOINTMENT OF THE</w:t>
        <w:br/>
        <w:t>COMPANY’S INDEPENDENT AUDITORS FOR FISCAL year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Appointment of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CBIZ CPAs P.C. has served as our independent registered public accounting firm since March 2026.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CBIZ CPAs P.C. to serve as our independent registered public accounting firm for the year ending September 30, 2026. If our stockholders do not ratify the selection, it will be considered as notice to the Board and the audit committee to reconsider its appointment.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representative of CBIZ CPAs P.C. is not expected to attend the Annual Meeting; however, if a representative is present, they will have the opportunity to make a statement if they desire to do so and are not expected to be available to respond to appropriate questions.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Audit-Related and All Other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fees billed by our former independent accountants, Bush &amp; Associates CPA LLC (“Bush &amp; Associates”) for the years ended September 30, 2025 and 2024.</w:t>
      </w:r>
    </w:p>
    <w:tbl>
      <w:tblPr>
        <w:tblW w:w="4976" w:type="dxa"/>
        <w:jc w:val="left"/>
        <w:tblInd w:w="0" w:type="dxa"/>
        <w:tblLayout w:type="fixed"/>
        <w:tblCellMar>
          <w:top w:w="0" w:type="dxa"/>
          <w:left w:w="0" w:type="dxa"/>
          <w:bottom w:w="0" w:type="dxa"/>
          <w:right w:w="0" w:type="dxa"/>
        </w:tblCellMar>
      </w:tblPr>
      <w:tblGrid>
        <w:gridCol w:w="1876"/>
        <w:gridCol w:w="146"/>
        <w:gridCol w:w="333"/>
        <w:gridCol w:w="1103"/>
        <w:gridCol w:w="170"/>
        <w:gridCol w:w="333"/>
        <w:gridCol w:w="1015"/>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954" w:type="dxa"/>
            <w:gridSpan w:val="5"/>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September 30,</w:t>
            </w:r>
          </w:p>
        </w:tc>
      </w:tr>
      <w:tr>
        <w:trPr/>
        <w:tc>
          <w:tcPr>
            <w:tcW w:w="18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36"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70" w:type="dxa"/>
            <w:tcBorders/>
            <w:vAlign w:val="center"/>
          </w:tcPr>
          <w:p>
            <w:pPr>
              <w:pStyle w:val="TableContents"/>
              <w:bidi w:val="0"/>
              <w:spacing w:before="0" w:after="283"/>
              <w:jc w:val="left"/>
              <w:rPr/>
            </w:pPr>
            <w:r>
              <w:rPr/>
              <w:t> </w:t>
            </w:r>
          </w:p>
        </w:tc>
        <w:tc>
          <w:tcPr>
            <w:tcW w:w="1348"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8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w:t>
            </w:r>
          </w:p>
        </w:tc>
        <w:tc>
          <w:tcPr>
            <w:tcW w:w="146"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3"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7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5"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70,000</w:t>
            </w:r>
          </w:p>
        </w:tc>
      </w:tr>
      <w:tr>
        <w:trPr/>
        <w:tc>
          <w:tcPr>
            <w:tcW w:w="18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w:t>
            </w:r>
          </w:p>
        </w:tc>
        <w:tc>
          <w:tcPr>
            <w:tcW w:w="146" w:type="dxa"/>
            <w:tcBorders/>
            <w:vAlign w:val="center"/>
          </w:tcPr>
          <w:p>
            <w:pPr>
              <w:pStyle w:val="TableContents"/>
              <w:bidi w:val="0"/>
              <w:spacing w:before="0" w:after="283"/>
              <w:jc w:val="left"/>
              <w:rPr/>
            </w:pPr>
            <w:r>
              <w:rPr/>
              <w:t> </w:t>
            </w:r>
          </w:p>
        </w:tc>
        <w:tc>
          <w:tcPr>
            <w:tcW w:w="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3"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w:t>
            </w:r>
          </w:p>
        </w:tc>
        <w:tc>
          <w:tcPr>
            <w:tcW w:w="170" w:type="dxa"/>
            <w:tcBorders/>
            <w:vAlign w:val="center"/>
          </w:tcPr>
          <w:p>
            <w:pPr>
              <w:pStyle w:val="TableContents"/>
              <w:bidi w:val="0"/>
              <w:spacing w:before="0" w:after="283"/>
              <w:jc w:val="left"/>
              <w:rPr/>
            </w:pPr>
            <w:r>
              <w:rPr/>
              <w:t> </w:t>
            </w:r>
          </w:p>
        </w:tc>
        <w:tc>
          <w:tcPr>
            <w:tcW w:w="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5"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w:t>
            </w:r>
          </w:p>
        </w:tc>
      </w:tr>
      <w:tr>
        <w:trPr/>
        <w:tc>
          <w:tcPr>
            <w:tcW w:w="187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w:t>
            </w:r>
          </w:p>
        </w:tc>
        <w:tc>
          <w:tcPr>
            <w:tcW w:w="146"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7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5"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87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70" w:type="dxa"/>
            <w:tcBorders/>
            <w:vAlign w:val="center"/>
          </w:tcPr>
          <w:p>
            <w:pPr>
              <w:pStyle w:val="TableContents"/>
              <w:bidi w:val="0"/>
              <w:spacing w:before="0" w:after="283"/>
              <w:jc w:val="left"/>
              <w:rPr/>
            </w:pPr>
            <w:r>
              <w:rPr/>
              <w:t> </w:t>
            </w:r>
          </w:p>
        </w:tc>
        <w:tc>
          <w:tcPr>
            <w:tcW w:w="33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15"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 consist of fees for professional services rendered for the audit of our year-end financial statements and services that are normally provided by Bush&amp; Associates in connection with regulatory filings. The aggregate fees of Bush &amp; Associates for professional services rendered for the audit of our annual financial statements, review of the financial information include in our filings with the SEC for the years ended September 30, 2025 and 2024 totaled approximately $100,000 and $70,000, respectively. The above amounts include interim procedures and audit fees, as well as attendance at audit committee meetings.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Audit-Related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paid Bush &amp; Associates $20,000 and $18,000 for consultations concerning financial accounting and reporting standards for the years ended September 30,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pay Bush &amp; Associates for tax services, planning or advice for the years ended September 30,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Other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pay Bush &amp; Associates for any other services for the years ended September 30,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Procedures For Board Pre-Approval of Audit and Permissible Non-Audit Services of Independent Auditor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reviewed and discussed our financial statements for the fiscal year ended September 30, 2025 with both management and Bush &amp; Associates CPA LLC (“</w:t>
      </w:r>
      <w:r>
        <w:rPr>
          <w:rFonts w:ascii="Times New Roman PS Std;serif" w:hAnsi="Times New Roman PS Std;serif"/>
          <w:b/>
          <w:i w:val="false"/>
          <w:caps w:val="false"/>
          <w:smallCaps w:val="false"/>
          <w:sz w:val="20"/>
        </w:rPr>
        <w:t>Bush &amp; Associates</w:t>
      </w:r>
      <w:r>
        <w:rPr>
          <w:rFonts w:ascii="Times New Roman PS Std;serif" w:hAnsi="Times New Roman PS Std;serif"/>
          <w:b w:val="false"/>
          <w:i w:val="false"/>
          <w:caps w:val="false"/>
          <w:smallCaps w:val="false"/>
          <w:sz w:val="20"/>
        </w:rPr>
        <w:t>”), our independent registered public accounting firm for the fiscal year ended September 30, 2025. In its discussion, management has represented to the Audit Committee that our financial statements for the fiscal year ended September 30, 2025 were prepared in accordance with generally accepted accounting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Bush &amp; Associates the matters required to be discussed by the statement on Auditing Standards No. 61, as amended, as adopted by the Public Company Accounting Oversight Board (“</w:t>
      </w:r>
      <w:r>
        <w:rPr>
          <w:rFonts w:ascii="Times New Roman PS Std;serif" w:hAnsi="Times New Roman PS Std;serif"/>
          <w:b/>
          <w:i w:val="false"/>
          <w:caps w:val="false"/>
          <w:smallCaps w:val="false"/>
          <w:sz w:val="20"/>
        </w:rPr>
        <w:t>PCAOB</w:t>
      </w:r>
      <w:r>
        <w:rPr>
          <w:rFonts w:ascii="Times New Roman PS Std;serif" w:hAnsi="Times New Roman PS Std;serif"/>
          <w:b w:val="false"/>
          <w:i w:val="false"/>
          <w:caps w:val="false"/>
          <w:smallCaps w:val="false"/>
          <w:sz w:val="20"/>
        </w:rPr>
        <w:t>”) in Rule 3200T.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 received the written disclosures and the letter from Bush &amp; Associates as required by applicable requirements of the PCAOB regarding the independent registered public accounting firm’s communications with the Audit Committee concerning independence, and has considered and discussed with Bush &amp; Associates such firm’s independence and the compatibility of the non-audit services provided by the firm with its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Audit Committee’s review of the audited financial statements and the various discussions noted above, the Audit Committee recommended to the Board that the audited financial statements be included in our Annual Report on Form 10-K/A for the fiscal year ended September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Submitted by the Audit Committee of the Board of Directors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Shigley (Chair of the Audit Committee)</w:t>
        <w:br/>
        <w:t>Stephen Markscheid</w:t>
        <w:br/>
        <w:t>Saul Factor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Required Vote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Ratification of the appointment by the Audit Committee of the Auditor as the Company’s independent registered public accounting firm for the fiscal year ending September 30, 2026 requires the affirmative vote of a majority of the votes cast at this Annual Meeting.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Recommendation of the Board</w:t>
      </w:r>
    </w:p>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THE BOARD UNANIMOUSLY RECOMMENDS A VOTE FOR THE </w:t>
      </w:r>
      <w:r>
        <w:rPr>
          <w:rFonts w:ascii="Times New Roman PS Std;serif" w:hAnsi="Times New Roman PS Std;serif"/>
          <w:b/>
          <w:i w:val="false"/>
          <w:caps/>
          <w:sz w:val="20"/>
        </w:rPr>
        <w:t>RATIFICATION OF THE APPOINTMENT BY THE BOARD OF CBIZ CPAs P.C. AS THE COMPANY’S INDEPENDENT REGISTERED PUBLIC ACCOUNTING FIRM FOR THE Fiscal year ending September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505"/>
      <w:bookmarkEnd w:id="7"/>
      <w:r>
        <w:rPr>
          <w:rFonts w:ascii="Times New Roman PS Std;serif" w:hAnsi="Times New Roman PS Std;serif"/>
          <w:b/>
          <w:i w:val="false"/>
          <w:caps w:val="false"/>
          <w:smallCaps w:val="false"/>
          <w:sz w:val="20"/>
        </w:rPr>
        <w:t xml:space="preserve">OTHER INFORMATION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Proxy Solicitation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costs of solicitation of proxies will be borne by the Company. In addition to solicitation by mail, the Company’s officers and regular employees may solicit proxies personally or by telephone. The Company does not intend to utilize a paid solicitation agent.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Proxies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stockholder may revoke his, her or its proxy at any time prior to its use by giving written notice to the Secretary of the Company,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Securities Outstanding; Votes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close of business on the Record Date there were 39,934,846 shares of Class A Common Stock outstanding and 185,167,097 shares of Class B Common Stock outstanding. Stockholders are entitled to ten (10) votes for each share of Class A Common Stock owned and one (1) vote for each share of Class B Common Stock owned. In the election of directors, the two persons receiving the highest number of affirmative votes cast at the Annual Meeting will be elected. The affirmative vote of a majority of the shares of Common Stock present at the Annual Meeting by proxy and that have voted is required for approval of proposal 2. Shares of the Common Stock represented by executed proxies received by the Company will be counted for purposes of establishing a quorum at the Annual Meeting, regardless of how or whether such shares are voted on any specific proposal.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Deadline for Submission of Stockholder Proposals and Director Nominations for 2026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intending to present a proposal or propose a director nominee at our 2026 Annual Meeting must comply with the requirements set forth in the Bylaws and comply with the requirement of Rule 14a-8 of the Exchange Act. The Bylaws require, among other things, that a stockholder must have given timely notice any proposal in writing to the Secretary of the Company. To be timely, a stockholder’s notice must be delivered to or mailed and received at the principal executive offices of the Company not later than the close of business on the ninetieth (90th) day nor earlier than the close of business on the one hundred twentieth (120th) day prior to the first anniversary date of the preceding year’s annual meeting; </w:t>
      </w:r>
      <w:r>
        <w:rPr>
          <w:rFonts w:ascii="Times New Roman PS Std;serif" w:hAnsi="Times New Roman PS Std;serif"/>
          <w:b w:val="false"/>
          <w:i w:val="false"/>
          <w:caps w:val="false"/>
          <w:smallCaps w:val="false"/>
          <w:sz w:val="20"/>
          <w:u w:val="single"/>
        </w:rPr>
        <w:t>provided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0"/>
          <w:u w:val="single"/>
        </w:rPr>
        <w:t>however</w:t>
      </w:r>
      <w:r>
        <w:rPr>
          <w:rFonts w:ascii="Times New Roman PS Std;serif" w:hAnsi="Times New Roman PS Std;serif"/>
          <w:b w:val="false"/>
          <w:i w:val="false"/>
          <w:caps w:val="false"/>
          <w:smallCaps w:val="false"/>
          <w:sz w:val="20"/>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Accordingly, for the 2027 Annual Meeting, assuming the meeting is held on or about September 29, 2027, notice of a nomination or proposal must be delivered to the Secretary of the Company no later than July 31, 2027 and no earlier than June 1, 2027.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2027 Annual Meeting of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the Company calls a special meeting of stockholders for the purpose of electing one (1) or more directors to the Board, any such stockholder entitled to vote in such election of directors may nominate a person or persons for election to such position(s) as specified in the Company’s notice of meeting, if the stockholder’s notice, in proper written form as set forth in the Bylaws, shall be delivered to the Secretary of the Company at the principal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executive office of the Company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reserve the right to reject, rule out of order or take other appropriate action with respect to any proposal that does not comply with these or other applicable requirements.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Communications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Accompanying this Proxy Statement is a copy of the Company’s Amendment to Annual Report on Form 10-K/A for the fiscal year ended September 30, 2025. Such Report includes the Company’s audited financial statements for the 2025 fiscal year and certain other financial information, which is incorporated by reference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have questions in regard to any aspect of the matters discussed in this Proxy Statement should contact Zhenqiang (Michael) Huang, our Chief Financial Officer, at 2975 Lincoln Rd, Las Vegas, NV 89115.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Householding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by contacting Warren Heit, General Counsel of the Company, at 2975 Lincoln Rd, Las Vegas, NV 89115.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RICHTECH ROBOTICS INC. 2975 LINCOLN RD LAS VEGAS, NEVADA 89115 UNITED STATES SCAN TO VIEW MATERIALS &amp; VOTE VOTE BY INTERNET - www.proxyvote.com or scan the QR Barcode above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the day before the cut-off date or meeting date.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T03658-P57300 KEEP THIS PORTION FOR YOUR RECORDS THIS PROXY CARD IS VALID ONLY WHEN SIGNED AND DATED. DETACH AND RETURN THIS PORTION ONLY RICHTECH ROBOTICS INC. The Board of Directors recommends you vote FOR the following proposals: 1. Election of Saul Factor and John Shigley to hold office until the 2029 Annual Meeting of Stockholders or their successors are elected and qualified. 2. To ratify the appointment by the Board of CBIZ CPAs P.C. as the Company’s independent registered public accounting firm for the fiscal year ending September 30, 2026. In their discretion, the proxies are authorized to vote upon such other business as may properly come before the meeting. For Withhold For Against Abstain Please indicate if you plan to attend this meeting. Yes No When shares are held by joint tenants, both should sign. When signing as attorney, executor, administrator, trustee or guardian, please give full title as such. If a corporation, please sign the corporate name by the president or other authorized officer. If a partnership, please sign in the partnership name by an authorized person. Signature [PLEASE SIGN WITHIN BOX] Date Signature (Joint Owners)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Annual Meeting: The Proxy Statement and Form 10-K are available at www.proxyvote.com. T03659-P57300 RICHTECH ROBOTICS INC. ANNUAL MEETING OF STOCKHOLDERS SEPTEMBER 29, 2026 10:00 AM PT THIS PROXY IS SOLICITED ON BEHALF OF THE BOARD OF DIRECTORS The undersigned hereby appoints Zhenwu Huang and Zhenqiang Huang, and each of them, as proxies of the undersigned, with full power of substitution, to vote all the shares of Common Stock of Richtech Robotics Inc. held of record by the undersigned on August 25, 2026, at the Annual Meeting of Stockholders to be held on September 29, 2026, or any adjournment thereof. The shares represented by this proxy, when properly executed, will be voted as specified by the undersigned stockholder(s). If this card contains no specific voting instructions, the shares will be voted FOR each of the directors and proposals described on this card. Please mark, sign, date and return this proxy promptly using the accompanying postage pre-paid envelope. THIS PROXY IS SOLICITED ON BEHALF OF THE BOARD OF DIRECTORS OF RICHTECH ROBOTICS INC.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17410</Words>
  <Characters>91359</Characters>
  <CharactersWithSpaces>108919</CharactersWithSpaces>
  <Paragraphs>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