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20" w:right="1339" w:hanging="3660"/>
        <w:spacing w:after="0" w:line="334" w:lineRule="auto"/>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17, 2026. 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3175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RICHTECH ROBOTICS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3569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88-2870106</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20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2975 Lincoln Rd</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Las Vegas, NV 89115</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18" w:lineRule="exact"/>
        <w:rPr>
          <w:sz w:val="24"/>
          <w:szCs w:val="24"/>
          <w:color w:val="auto"/>
        </w:rPr>
      </w:pPr>
    </w:p>
    <w:p>
      <w:pPr>
        <w:jc w:val="center"/>
        <w:ind w:left="460" w:right="459"/>
        <w:spacing w:after="0" w:line="267" w:lineRule="auto"/>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Zhenwu (Wayne) Huang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RICHTECH ROBOTICS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2975 Lincoln 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Richard I. Anslow, Esq.</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Lijia Sanchez, Esq.</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1345 Avenue of the Americas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York, NY 10105</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370-7889</w:t>
      </w:r>
    </w:p>
    <w:p>
      <w:pPr>
        <w:spacing w:after="0" w:line="20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w:t>
      </w:r>
    </w:p>
    <w:p>
      <w:pPr>
        <w:spacing w:after="0" w:line="81" w:lineRule="exact"/>
        <w:rPr>
          <w:sz w:val="24"/>
          <w:szCs w:val="24"/>
          <w:color w:val="auto"/>
        </w:rPr>
      </w:pPr>
    </w:p>
    <w:p>
      <w:pPr>
        <w:jc w:val="both"/>
        <w:ind w:left="460" w:right="479" w:firstLine="432"/>
        <w:spacing w:after="0" w:line="264" w:lineRule="auto"/>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the effective date of this registration statement.</w:t>
      </w:r>
    </w:p>
    <w:p>
      <w:pPr>
        <w:spacing w:after="0" w:line="39" w:lineRule="exact"/>
        <w:rPr>
          <w:sz w:val="24"/>
          <w:szCs w:val="24"/>
          <w:color w:val="auto"/>
        </w:rPr>
      </w:pPr>
    </w:p>
    <w:p>
      <w:pPr>
        <w:jc w:val="both"/>
        <w:ind w:left="460" w:right="47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left="460" w:right="459"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106" w:lineRule="exact"/>
        <w:rPr>
          <w:sz w:val="24"/>
          <w:szCs w:val="24"/>
          <w:color w:val="auto"/>
        </w:rPr>
      </w:pPr>
    </w:p>
    <w:p>
      <w:pPr>
        <w:jc w:val="both"/>
        <w:ind w:left="460" w:right="45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460" w:right="47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left="460" w:right="459" w:firstLine="432"/>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780" w:type="dxa"/>
        <w:tblCellMar>
          <w:top w:w="0" w:type="dxa"/>
          <w:left w:w="0" w:type="dxa"/>
          <w:bottom w:w="0" w:type="dxa"/>
          <w:right w:w="0" w:type="dxa"/>
        </w:tblCellMar>
      </w:tblPr>
      <w:tr>
        <w:trPr>
          <w:trHeight w:val="242"/>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Accelerated filer</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9" w:lineRule="exact"/>
        <w:rPr>
          <w:sz w:val="24"/>
          <w:szCs w:val="24"/>
          <w:color w:val="auto"/>
        </w:rPr>
      </w:pPr>
    </w:p>
    <w:p>
      <w:pPr>
        <w:jc w:val="both"/>
        <w:ind w:left="460" w:right="47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left="460" w:right="459"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213995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530860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prospectus is not complete and may be changed. We may not sell these securities until the Securities and Exchange Commission declares our registration statement effective. This prospectus is not an offer to sell these securities and we are not soliciting an offer to buy these securities in any state where the offer or sale is not permitted.</w:t>
      </w:r>
    </w:p>
    <w:p>
      <w:pPr>
        <w:spacing w:after="0" w:line="149" w:lineRule="exact"/>
        <w:rPr>
          <w:sz w:val="20"/>
          <w:szCs w:val="20"/>
          <w:color w:val="auto"/>
        </w:rPr>
      </w:pPr>
    </w:p>
    <w:p>
      <w:pPr>
        <w:ind w:left="46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Subject to Completion, Dated February 17,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8,500,000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RICHTECH ROBOTICS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B Common Stock</w:t>
      </w:r>
    </w:p>
    <w:p>
      <w:pPr>
        <w:spacing w:after="0" w:line="13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8,500,000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of Richtech Robotics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by an institutional investor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pursuant to a share purchase agreement (the “</w:t>
      </w:r>
      <w:r>
        <w:rPr>
          <w:rFonts w:ascii="Times New Roman" w:cs="Times New Roman" w:eastAsia="Times New Roman" w:hAnsi="Times New Roman"/>
          <w:sz w:val="18"/>
          <w:szCs w:val="18"/>
          <w:b w:val="1"/>
          <w:bCs w:val="1"/>
          <w:color w:val="auto"/>
        </w:rPr>
        <w:t>2026 Purchase Agreement</w:t>
      </w:r>
      <w:r>
        <w:rPr>
          <w:rFonts w:ascii="Times New Roman" w:cs="Times New Roman" w:eastAsia="Times New Roman" w:hAnsi="Times New Roman"/>
          <w:sz w:val="18"/>
          <w:szCs w:val="18"/>
          <w:color w:val="auto"/>
        </w:rPr>
        <w:t>”),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entered into with the Investor, on January 27, 2026. Pursuant to the 2026 Purchase Agreement, the Investor agreed to purchase 8,500,000 shares (the “Shares”) of the Class B common stock at a purchase price of $4.55 per Share, for aggregate gross proceeds of $38,675,000, prior to deducting placement agent’s fees and other offering expenses payable by the Company. The transaction closed on January 29, 2026. We are registering the Shares on behalf of the Selling Stockholder, to be offered and sold by them from time to time. We will not receive any proceeds from the sale of the Shares by the Selling Stockholder in the offering described in this prospectus. The Selling Stockholder, or its transferees, pledgees, donees or other successors in interest, may sell the Shares from time to time in the principal market on which our Class B common stock is traded at the prevailing market prices, at prices related to prevailing market prices or in privately negotiated transactions. The Selling Stockholder may sell any, all or none of the Shares to or through underwriters, broker-dealers or agents, who may receive compensation in the form of discounts, concessions or commissions from the Selling Stockholder, the purchasers of the Shares, or both. We are registering the Shares pursuant to certain registration rights granted to the Selling Stockholder. The timing and amount of any sale of Shares is within the sole discretion of the Selling Stockholder. We do not know when or in what amount of the Shares the Selling Stockholder may sell its Shares following the effective date of the registration statement of which this prospectus forms a part.</w:t>
      </w:r>
    </w:p>
    <w:p>
      <w:pPr>
        <w:spacing w:after="0" w:line="1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about how the Selling Stockholder may sell its Shares, please see the section entitled “Plan of Distribution” on page 21.</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pay the expenses of registering the Shares, including legal and accounting fees. All selling and other expenses incurred by a selling stockholder will be borne by the Selling Stockholder. We have agreed to bear all expenses incurred in connection with the registration of the Shares. The Selling Stockholder will pay or assume discounts, commissions, fees of underwriters, selling brokers or dealer managers and similar expenses, if any, incurred for the sale of the Shares.</w:t>
      </w:r>
    </w:p>
    <w:p>
      <w:pPr>
        <w:spacing w:after="0" w:line="98"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Our Class B common stock is currently traded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“RR.” On February 17, 2026, the last reported sale price for our Class B common stock was $2.76 per share.</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as such, we have elected to take advantage of certain reduced public company reporting requirements for this prospectus and future filings. Investing in our Class B common stock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15 of this prospectus for a discussion of information that should be considered in connection with an investment in our Class B common stock. See “</w:t>
      </w:r>
      <w:r>
        <w:rPr>
          <w:rFonts w:ascii="Times New Roman" w:cs="Times New Roman" w:eastAsia="Times New Roman" w:hAnsi="Times New Roman"/>
          <w:sz w:val="18"/>
          <w:szCs w:val="18"/>
          <w:b w:val="1"/>
          <w:bCs w:val="1"/>
          <w:i w:val="1"/>
          <w:iCs w:val="1"/>
          <w:color w:val="auto"/>
        </w:rPr>
        <w:t>Prospectus Summary — Emerging Growth Company Status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15.</w:t>
      </w:r>
    </w:p>
    <w:p>
      <w:pPr>
        <w:spacing w:after="0" w:line="14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326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 2026.</w:t>
            </w:r>
          </w:p>
        </w:tc>
      </w:tr>
      <w:tr>
        <w:trPr>
          <w:trHeight w:val="391"/>
        </w:trPr>
        <w:tc>
          <w:tcPr>
            <w:tcW w:w="48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and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Market Price of and Dividends on the Company’s Common Equity and Related Stockholder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4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6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Stockholder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24</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24</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9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free writing prospectus prepared by or on behalf of us and delivered or made available to you. Neither we, nor the Selling Stockholder have authorized anyone to provide you with additional or different information. We are offering to sell, and seeking offers to buy, shares of our Class B common stock only in jurisdictions where offers and sales are permitted. The information contained in this prospectus or a free writing prospectus is accurate only as of its date, regardless of its time of delivery or of any sale of shares of our Class B common stock. Our business, financial condition, operating results, and prospects may have changed since that date.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Selling Stockholder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B common stock and the distribution of this prospectus outside of the United States.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prospectus are based on independent industry publications, government publications and other published independent sources. Some data is also based on our good faith estimates. The industry in which we operate is subject to a high degree of uncertainty and risk due to a variety of factors, including those described in the section entitled “Risk Factors.” These and other factors could cause results to differ materially from those expressed in these publications.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Richtech Robotics Inc.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prospectus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B common stock. You should read this entire prospectus, including the information incorporated by reference herein, carefully, including the sections titled “Risk Factors” and “Management’s Discussion and Analysis of Financial Condition and Results of Operations” and our consolidated financial statements and the related notes included in our Annual Report on Form 10-K for the year ended September 30, 2025, before making an investment decision.</w:t>
      </w:r>
    </w:p>
    <w:p>
      <w:pPr>
        <w:spacing w:after="0" w:line="115" w:lineRule="exact"/>
        <w:rPr>
          <w:sz w:val="20"/>
          <w:szCs w:val="20"/>
          <w:color w:val="auto"/>
        </w:rPr>
      </w:pPr>
    </w:p>
    <w:p>
      <w:pPr>
        <w:jc w:val="both"/>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unless the context otherwise requires, the terms “we,” “us,” “our,” “Richtech” and the “Company” refer to Richtech Robotics Inc.</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Richtech is a robotics and artificial intelligence (“</w:t>
      </w:r>
      <w:r>
        <w:rPr>
          <w:rFonts w:ascii="Times New Roman" w:cs="Times New Roman" w:eastAsia="Times New Roman" w:hAnsi="Times New Roman"/>
          <w:sz w:val="18"/>
          <w:szCs w:val="18"/>
          <w:b w:val="1"/>
          <w:bCs w:val="1"/>
          <w:color w:val="auto"/>
        </w:rPr>
        <w:t>AI</w:t>
      </w:r>
      <w:r>
        <w:rPr>
          <w:rFonts w:ascii="Times New Roman" w:cs="Times New Roman" w:eastAsia="Times New Roman" w:hAnsi="Times New Roman"/>
          <w:sz w:val="18"/>
          <w:szCs w:val="18"/>
          <w:color w:val="auto"/>
        </w:rPr>
        <w:t>”) technology company focused on developing advanced embodied AI systems that aims to improve the efficiency and productivity of U.S. businesses. Richtech trains proprietary artificial intelligence models on in-house data to operate advanced robotic systems in the real world. We design, engineer, manufacture, and deploy next generation embodied AI systems to serve a wide range of industries — including food service, retail, industrial manufacturing, automotive, healthcare, and hospitality. Our robots are designed to be user friendly, reliable, and highly customizable, with the goal of driving tangible profit and loss (“</w:t>
      </w:r>
      <w:r>
        <w:rPr>
          <w:rFonts w:ascii="Times New Roman" w:cs="Times New Roman" w:eastAsia="Times New Roman" w:hAnsi="Times New Roman"/>
          <w:sz w:val="18"/>
          <w:szCs w:val="18"/>
          <w:b w:val="1"/>
          <w:bCs w:val="1"/>
          <w:color w:val="auto"/>
        </w:rPr>
        <w:t>P&amp;L</w:t>
      </w:r>
      <w:r>
        <w:rPr>
          <w:rFonts w:ascii="Times New Roman" w:cs="Times New Roman" w:eastAsia="Times New Roman" w:hAnsi="Times New Roman"/>
          <w:sz w:val="18"/>
          <w:szCs w:val="18"/>
          <w:color w:val="auto"/>
        </w:rPr>
        <w:t>”) improvements for our customers.</w:t>
      </w:r>
    </w:p>
    <w:p>
      <w:pPr>
        <w:spacing w:after="0" w:line="11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accelerate the advancement of embodied AI in the United States. We aim to become a robotics “Super-Operator” — i.e. a company operating over one hundred thousand intelligent robots connected through a unified, data-rich AI ecosystem. These robots will perform a wide range of tasks across commercial and industrial environments, from scrubbing floors and packaging deliveries to supporting medical staff in hospitals and staffing factory production lines.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2026 Private Placement</w:t>
      </w:r>
    </w:p>
    <w:p>
      <w:pPr>
        <w:spacing w:after="0" w:line="16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On January 27, 2026, the Company entered into the 2026 Purchase Agreement with the Selling Stockholder. Pursuant to the 2026 Purchase Agreement, the Company agreed to issue and sell to the Selling Stockholder, and the Selling Stockholder agreed to purchase from the Company, in a private placement (the “</w:t>
      </w:r>
      <w:r>
        <w:rPr>
          <w:rFonts w:ascii="Times New Roman" w:cs="Times New Roman" w:eastAsia="Times New Roman" w:hAnsi="Times New Roman"/>
          <w:sz w:val="18"/>
          <w:szCs w:val="18"/>
          <w:b w:val="1"/>
          <w:bCs w:val="1"/>
          <w:color w:val="auto"/>
        </w:rPr>
        <w:t>2026 Private Placement</w:t>
      </w:r>
      <w:r>
        <w:rPr>
          <w:rFonts w:ascii="Times New Roman" w:cs="Times New Roman" w:eastAsia="Times New Roman" w:hAnsi="Times New Roman"/>
          <w:sz w:val="18"/>
          <w:szCs w:val="18"/>
          <w:color w:val="auto"/>
        </w:rPr>
        <w:t>”), 8,500,000 Shares, at a purchase price of $4.55 per Share, for aggregate gross proceeds of $38,675,000, prior to deducting placement agent’s fees and other offering expenses payable by the Company. The 2026 Private Placement closed on January 29, 2026.</w:t>
      </w:r>
    </w:p>
    <w:p>
      <w:pPr>
        <w:spacing w:after="0" w:line="10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Pursuant to the 2026 Purchase Agreement, for a period commencing upon the signing of the 2026 Purchase Agreement, until 45 days after the effective date of the registration statemen, of which this prospectus forms part (the “</w:t>
      </w:r>
      <w:r>
        <w:rPr>
          <w:rFonts w:ascii="Times New Roman" w:cs="Times New Roman" w:eastAsia="Times New Roman" w:hAnsi="Times New Roman"/>
          <w:sz w:val="18"/>
          <w:szCs w:val="18"/>
          <w:b w:val="1"/>
          <w:bCs w:val="1"/>
          <w:color w:val="auto"/>
        </w:rPr>
        <w:t>Resale Registration Statement</w:t>
      </w:r>
      <w:r>
        <w:rPr>
          <w:rFonts w:ascii="Times New Roman" w:cs="Times New Roman" w:eastAsia="Times New Roman" w:hAnsi="Times New Roman"/>
          <w:sz w:val="18"/>
          <w:szCs w:val="18"/>
          <w:color w:val="auto"/>
        </w:rPr>
        <w:t>”), neither the Company nor any of its subsidiaries shall (i) issue, enter into any agreement to issue or announce the issuance or proposed issuance of any Class B common stock or Class B common stock equivalents, or (ii) file any registration statement or any amendment or supplement thereto. The restrictions are subject to certain exceptions as described in the 2026 Purchase Agreement. Further, for a period of 15 months following the effective date of the Resale Registration Statement, the Company is also prohibited from effecting or entering into an agreement to effect any issuance by the Company or any of its subsidiaries of Class B common stock or Class B common stock equivalents (or a combination of units thereof) involving a Variable Rate Transaction, as defined in the 2026 Purchase Agreement. The 2026 Purchase Agreement also contains customary representations and warranties and agreements and obligations, conditions to closing and termination provisions.</w:t>
      </w:r>
    </w:p>
    <w:p>
      <w:pPr>
        <w:spacing w:after="0" w:line="12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Purchase Agreement, on January 27, 2026, the Company also entered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with the investor. Pursuant to the Registration Rights Agreement, the Company will be required to file the Resale Registration Statement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register the Shares for resale. The Company agreed to file the Resale Registration Statement by February 16, 2026, and to have such Resale Registration Statement declared effective within 45 days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after January 27, 2026, or 75 days after January 27, 2026, in the event of a “full review” by the SEC. The Company will be obligated to pay liquidated damages to the investors if the Company fails to file the Resale Registration Statement when required or fails to cause the Resale Registration Statement to be declared effective by the SEC when required.</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net proceeds to the Company from the 2026 Private Placement were approximately $36.2 million, after deducting placement agent fees and estimated offering expenses payable by the Company. The Company intends to use the net proceeds for working capital, general corporate purposes, including the further development of our product candidates, and the procurement of inventory, specifically for robotic hardware.</w:t>
      </w:r>
    </w:p>
    <w:p>
      <w:pPr>
        <w:spacing w:after="0" w:line="98"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color w:val="auto"/>
        </w:rPr>
        <w:t>Rodman &amp; Renshaw LLC (“</w:t>
      </w:r>
      <w:r>
        <w:rPr>
          <w:rFonts w:ascii="Times New Roman" w:cs="Times New Roman" w:eastAsia="Times New Roman" w:hAnsi="Times New Roman"/>
          <w:sz w:val="18"/>
          <w:szCs w:val="18"/>
          <w:b w:val="1"/>
          <w:bCs w:val="1"/>
          <w:color w:val="auto"/>
        </w:rPr>
        <w:t>Rodman</w:t>
      </w:r>
      <w:r>
        <w:rPr>
          <w:rFonts w:ascii="Times New Roman" w:cs="Times New Roman" w:eastAsia="Times New Roman" w:hAnsi="Times New Roman"/>
          <w:sz w:val="18"/>
          <w:szCs w:val="18"/>
          <w:color w:val="auto"/>
        </w:rPr>
        <w:t>”) acted as the Company’s exclusive placement agent in connection with the 2026 Private Placement. Pursuant to an engagement letter by and between the Company and Rodman, the Company paid Rodman an aggregate cash fee equal to 6.0% of the gross proceeds of the 2026 Private Placement and agreed to reimburse the Rodman for all reasonable out-of-pocket and non-accountable expenses of up to $100,000 in aggregate.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New Product Launch — Dex Humanoid Robot</w:t>
      </w:r>
    </w:p>
    <w:p>
      <w:pPr>
        <w:spacing w:after="0" w:line="162" w:lineRule="exact"/>
        <w:rPr>
          <w:sz w:val="20"/>
          <w:szCs w:val="20"/>
          <w:color w:val="auto"/>
        </w:rPr>
      </w:pPr>
    </w:p>
    <w:p>
      <w:pPr>
        <w:jc w:val="both"/>
        <w:ind w:left="540" w:right="559" w:firstLine="432"/>
        <w:spacing w:after="0" w:line="281" w:lineRule="auto"/>
        <w:rPr>
          <w:sz w:val="20"/>
          <w:szCs w:val="20"/>
          <w:color w:val="auto"/>
        </w:rPr>
      </w:pPr>
      <w:r>
        <w:rPr>
          <w:rFonts w:ascii="Times New Roman" w:cs="Times New Roman" w:eastAsia="Times New Roman" w:hAnsi="Times New Roman"/>
          <w:sz w:val="17"/>
          <w:szCs w:val="17"/>
          <w:color w:val="auto"/>
        </w:rPr>
        <w:t>October 28, 2025, we announced Dex, our next-generation humanoid robot. Built on the NVIDIA Jetson Thor platform, Dex integrates a comprehensive suite of advanced AI capabilities designed to transform the industrial workforce. With sophisticated perception and manipulation abilities, Dex can interact with and operate in real-world environments, enabling it to perform tasks once considered too complex to automate.</w:t>
      </w:r>
    </w:p>
    <w:p>
      <w:pPr>
        <w:spacing w:after="0" w:line="97"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Dex is expected to be deployment-ready for industrial applications by mid-2026, and we anticipate that it will become a significant driver of the company’s future growth.</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R&amp;D Collaboration</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Subsequent to September 30, 2025, we entered into a non-commercial technology collaboration agreement with Microsoft Corporation through the Microsoft AI Co-Innovation Lab to support the evaluation and development of certain artificial intelligence workflows.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Subsequent Capital Raise — At-The-Market Offering</w:t>
      </w:r>
    </w:p>
    <w:p>
      <w:pPr>
        <w:spacing w:after="0" w:line="158"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color w:val="auto"/>
        </w:rPr>
        <w:t>Subsequent to September 30, 2025, we utilized our at-the-market offering program (the “</w:t>
      </w:r>
      <w:r>
        <w:rPr>
          <w:rFonts w:ascii="Times New Roman" w:cs="Times New Roman" w:eastAsia="Times New Roman" w:hAnsi="Times New Roman"/>
          <w:sz w:val="18"/>
          <w:szCs w:val="18"/>
          <w:b w:val="1"/>
          <w:bCs w:val="1"/>
          <w:color w:val="auto"/>
        </w:rPr>
        <w:t>September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ATM</w:t>
      </w:r>
      <w:r>
        <w:rPr>
          <w:rFonts w:ascii="Times New Roman" w:cs="Times New Roman" w:eastAsia="Times New Roman" w:hAnsi="Times New Roman"/>
          <w:sz w:val="18"/>
          <w:szCs w:val="18"/>
          <w:color w:val="auto"/>
        </w:rPr>
        <w:t>”) to issue and sell an aggregate of 15,156,685 shares of Class B common stock, receiving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proceeds of $71,622,886.31. A portion of such proceeds was generated through a direct sale of shares to a large institutional investor under the September ATM. We intend to use the proceeds to accelerate the build-out of our RaaS asset fleet.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On November 10, 2025, we filed the Articles of Amendment to our Articles of Incorporation, as amended, with the Nevada Secretary of State to effect an increase the number of shares of Class B common stock that we are authorized to issue from 200,000,000 to 1,000,000,000, effective upon filing.</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were originally founded as Richtech Creative Displays LLC in Nevada in July 2016, and we converted to Richtech Robotics Inc., a Nevada corporation, in June 2022. We completed our initial public offering on November 21, 2023, and shares of our Class B common stock began trading on the Nasdaq Capital Market on November 17, 2023 under the symbol “RR.”</w:t>
      </w:r>
    </w:p>
    <w:p>
      <w:pPr>
        <w:spacing w:after="0" w:line="11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To support our clients in optimizing the use of ADAM robots and enhancing the efficiency of their operations, we established a wholly-owned subsidiary, Alphamax Management LLC (“</w:t>
      </w:r>
      <w:r>
        <w:rPr>
          <w:rFonts w:ascii="Times New Roman" w:cs="Times New Roman" w:eastAsia="Times New Roman" w:hAnsi="Times New Roman"/>
          <w:sz w:val="18"/>
          <w:szCs w:val="18"/>
          <w:b w:val="1"/>
          <w:bCs w:val="1"/>
          <w:color w:val="auto"/>
        </w:rPr>
        <w:t>Alphamax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in June 2024. Alphamax Management provides business management and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help our clients better integrate robots into their workflow. On May 1, 2025, we established Richtech Holdings LLC (“</w:t>
      </w:r>
      <w:r>
        <w:rPr>
          <w:rFonts w:ascii="Times New Roman" w:cs="Times New Roman" w:eastAsia="Times New Roman" w:hAnsi="Times New Roman"/>
          <w:sz w:val="18"/>
          <w:szCs w:val="18"/>
          <w:b w:val="1"/>
          <w:bCs w:val="1"/>
          <w:color w:val="auto"/>
        </w:rPr>
        <w:t>Richtech Holdings</w:t>
      </w:r>
      <w:r>
        <w:rPr>
          <w:rFonts w:ascii="Times New Roman" w:cs="Times New Roman" w:eastAsia="Times New Roman" w:hAnsi="Times New Roman"/>
          <w:sz w:val="18"/>
          <w:szCs w:val="18"/>
          <w:color w:val="auto"/>
        </w:rPr>
        <w:t>”), a wholly owned subsidiary, to hold and manage real estate assets acquired by the Company. On August 20, 2025, we established Richtech Capital LLC (“</w:t>
      </w:r>
      <w:r>
        <w:rPr>
          <w:rFonts w:ascii="Times New Roman" w:cs="Times New Roman" w:eastAsia="Times New Roman" w:hAnsi="Times New Roman"/>
          <w:sz w:val="18"/>
          <w:szCs w:val="18"/>
          <w:b w:val="1"/>
          <w:bCs w:val="1"/>
          <w:color w:val="auto"/>
        </w:rPr>
        <w:t>Richtech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w:t>
      </w:r>
      <w:r>
        <w:rPr>
          <w:rFonts w:ascii="Times New Roman" w:cs="Times New Roman" w:eastAsia="Times New Roman" w:hAnsi="Times New Roman"/>
          <w:sz w:val="18"/>
          <w:szCs w:val="18"/>
          <w:color w:val="auto"/>
        </w:rPr>
        <w:t>”), also a wholly owned subsidiary, to support the potential future scaling of our Robots-as-a-Service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RaaS</w:t>
      </w:r>
      <w:r>
        <w:rPr>
          <w:rFonts w:ascii="Times New Roman" w:cs="Times New Roman" w:eastAsia="Times New Roman" w:hAnsi="Times New Roman"/>
          <w:sz w:val="18"/>
          <w:szCs w:val="18"/>
          <w:color w:val="auto"/>
        </w:rPr>
        <w:t>”) business by exploring and facilitating financial solutions that may enhance operational flexibility and capital efficiency.</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Beginning in the fourth quarter of fiscal year 2025, we reorganized our product portfolio and internal teams into three strategic pillars: Commercial, Industrial, and Data Services. The creation of specialized teams will enable us to develop a deeper understanding of market characteristics within specific product niches. Commercial teams will primarily concentrate on advancing the food service, lodging, medical, and event experience markets, while Industrial teams will primarily focus on the manufacturing, warehousing, and automotive sectors. The Data Services team will be primarily focused on providing fundamental R&amp;D support for both Commercial and Industrial product development as well as certain strategic partners. The specialization of expertise provides better operational efficiency when tackling new market verticals and is essential in developing a fundamental understanding of customer environments and formulating clear company strategies. We believe that this new operational structure better positions us to engineer reliable robotic solutions that deliver the results our customers have come to expect.</w:t>
      </w:r>
    </w:p>
    <w:p>
      <w:pPr>
        <w:spacing w:after="0" w:line="12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Beginning in the fourth quarter of fiscal year 2025, we reorganized our product portfolio and internal teams into three strategic pillars: Commercial, Industrial, and Data Services. The creation of specialized teams will enable us to develop a deeper understanding of market characteristics within specific product niches. Commercial teams will primarily concentrate on advancing the food service, lodging, medical, and event experience markets, while Industrial teams will primarily focus on the manufacturing, warehousing, and automotive sectors. The Data Services team will be primarily focused on providing fundamental R&amp;D support for both Commercial and Industrial product development as well as certain strategic partners. The specialization of expertise provides better operational efficiency when tackling new market verticals and is essential in developing a fundamental understanding of customer environments and formulating clear company strategies. We believe that this new operational structure better positions us to engineer reliable robotic solutions that deliver the results our customers have come to expect.</w:t>
      </w:r>
    </w:p>
    <w:p>
      <w:pPr>
        <w:spacing w:after="0" w:line="11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This reorganization also reflects our forward-looking vision for the future of embodied AI. The demand for embodied AI robotic systems spans virtually all sectors of the economy, from commercial to industrial applications. Widespread adoption depends on the strength of the data infrastructure that powers AI training and deployment. Through this approach, Richtech will accelerate the advancement of embodied AI, enable the development of intelligent robotic solutions across industries, and drive the next era of automation.</w:t>
      </w:r>
    </w:p>
    <w:p>
      <w:pPr>
        <w:spacing w:after="0" w:line="11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operational re-organization, the Skylark line of robots has been discontinued to refocus resources on products with better long-term profitability. The Medbot line of robots has been discontinued while we develop new robotic technologies to better service the healthcare sector.</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utilize a combination of contract and in-house services to design and manufacture our products.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Commercial Robotic Products</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Under the Commercial pillar, the Company offers three primary product lines: the Matradee line of server assistant robots, the ADAM and the Scorpion beverage service robots. These solutions are designed to automate customer-facing commercial environments, with a particular focus on retail and food service applications.</w:t>
      </w:r>
    </w:p>
    <w:p>
      <w:pPr>
        <w:spacing w:after="0" w:line="10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Matradee </w:t>
      </w:r>
      <w:r>
        <w:rPr>
          <w:rFonts w:ascii="Times New Roman" w:cs="Times New Roman" w:eastAsia="Times New Roman" w:hAnsi="Times New Roman"/>
          <w:sz w:val="18"/>
          <w:szCs w:val="18"/>
          <w:color w:val="auto"/>
        </w:rPr>
        <w:t>is our line of restaurant service robots, designed for bussing, serving, hosting, advertising,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entertaining. For example, Matradee will transport food from the kitchen to the table where a waiter can come by and serve the guests. The waiter could then load the Matradee with dirty plates and send it to the dishwashing zone in the kitchen. This keeps the waiter on the floor serving guests and reduces physical stress on the waiter. The robot is designed to operate in narrow and busy environments, navigating around tables and people to get to its destination. Typically, a Matradee can perform over 1,000 deliveries per month in a busy restaurant.</w:t>
      </w:r>
    </w:p>
    <w:p>
      <w:pPr>
        <w:spacing w:after="0" w:line="119"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Matradee was designed to have a large carrying capacity and to be able to carry as much food as three to four waiters combined per trip. The robot is engineered to be extremely stable so that it can carry wine glasses and delicate food items without spilling. It can also be used to greet guests at the reception area and lead them to their table. With a battery life of eight to fourteen hours, the Matradee can run for the entire day without taking a break. When multiple robots are deployed in the same space, the robots communicate with each other to coordinate traffic optimally.</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believe that one of the biggest advantages of the Matradee is the ease of deployment and reliability. Standard deployments involving full installation and staff training are typically completed within three to four hours. The robot is not connectivity dependent and can operate fully offline. These features decrease the difficulty of deployments and increase the variety of environments in which the Matradee can be deployed successfully. We believe that this allows more deployments, lower costs, and faster scaling.</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Matradee is currently deployed in restaurants, hotels, casinos, senior living homes, and movie theaters. Many of these businesses have either restaurants or food service operations, so the primary task that the robot performs is delivering food from the kitchen to the tables and bussing dirty dishes back to the kitchen.</w:t>
      </w:r>
    </w:p>
    <w:p>
      <w:pPr>
        <w:spacing w:after="0" w:line="95" w:lineRule="exact"/>
        <w:rPr>
          <w:sz w:val="20"/>
          <w:szCs w:val="20"/>
          <w:color w:val="auto"/>
        </w:rPr>
      </w:pPr>
    </w:p>
    <w:p>
      <w:pPr>
        <w:jc w:val="both"/>
        <w:ind w:left="540" w:right="5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w:t>
      </w:r>
      <w:r>
        <w:rPr>
          <w:rFonts w:ascii="Times New Roman" w:cs="Times New Roman" w:eastAsia="Times New Roman" w:hAnsi="Times New Roman"/>
          <w:sz w:val="18"/>
          <w:szCs w:val="18"/>
          <w:color w:val="auto"/>
        </w:rPr>
        <w:t>is a dual-arm, AI-powered service robot developed to revolutionize beverage preparation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interaction in hospitality and retail environments. Designed for reliability, precision and engagement, ADAM automates the full beverage-making process — from mixing and shaking to espresso extraction — while delivering a captivating, customer-facing experience.</w:t>
      </w:r>
    </w:p>
    <w:p>
      <w:pPr>
        <w:spacing w:after="0" w:line="113"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Equipped with advanced vision and control AI, ADAM continuously monitors each beverage it prepares, dynamically adjusting movements and pouring accuracy to ensure consistent, high-quality results. Its coordinated dual-arm design enables complex, human-like motions and multitasking capabilities that traditional automated dispensers cannot replicate.</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Beyond efficiency, ADAM could serve as an experiential centerpiece that may attract customers and reinforce brand innovation. Deployed in cafés, hotels and entertainment venues, the robot has already produced many drinks in commercial settings. Its modular architecture is designed to allow for ongoing expansion — such as espresso preparation, touchless ordering, and point-of-sale integration — making it adaptable to a wide range of beverage formats and business models.</w:t>
      </w:r>
    </w:p>
    <w:p>
      <w:pPr>
        <w:spacing w:after="0" w:line="10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By combining robotics, AI, and interactive design, ADAM could empower operators to overcome labor shortages, improve operational consistency, and elevate customer experience. It represents a major component in Richtech’s mission to blend intelligent automation with human-centric service.</w:t>
      </w:r>
    </w:p>
    <w:p>
      <w:pPr>
        <w:spacing w:after="0" w:line="104"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Scorpion </w:t>
      </w:r>
      <w:r>
        <w:rPr>
          <w:rFonts w:ascii="Times New Roman" w:cs="Times New Roman" w:eastAsia="Times New Roman" w:hAnsi="Times New Roman"/>
          <w:sz w:val="18"/>
          <w:szCs w:val="18"/>
          <w:color w:val="auto"/>
        </w:rPr>
        <w:t>was developed on the same architecture as ADAM. Scorpion can perform many of ADAM’s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functions at a lower cost and with a smaller footprint. Additional AI camera systems allow for new features such as gesture and face recognition. These additional features, along with the smaller footprint, are designed to provide a more intimate experience for guests. Scorpion also has the ability to craft a unique cocktail for each customer based on input from the customer (e.g. what mood they are in) and information collected through Scorpion’s sensors. The smaller footprint allows this AI bartender to be deployed in a wider variety of environments. We believe Scorpion provides a more engaging and unique experience for customers while having the ability to significantly improve returns on investments (“</w:t>
      </w:r>
      <w:r>
        <w:rPr>
          <w:rFonts w:ascii="Times New Roman" w:cs="Times New Roman" w:eastAsia="Times New Roman" w:hAnsi="Times New Roman"/>
          <w:sz w:val="18"/>
          <w:szCs w:val="18"/>
          <w:b w:val="1"/>
          <w:bCs w:val="1"/>
          <w:color w:val="auto"/>
        </w:rPr>
        <w:t>ROI</w:t>
      </w:r>
      <w:r>
        <w:rPr>
          <w:rFonts w:ascii="Times New Roman" w:cs="Times New Roman" w:eastAsia="Times New Roman" w:hAnsi="Times New Roman"/>
          <w:sz w:val="18"/>
          <w:szCs w:val="18"/>
          <w:color w:val="auto"/>
        </w:rPr>
        <w:t>”) and affordability for businesses.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Robotic Products</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Under the Industrial pillar, the Company offers the Titan line of high — load-capacity delivery robots, the DUST-E line of autonomous cleaning robots, and the newly introduced Dex humanoid robot designed for light industrial applications. Products in the Industrial category are purpose-built for production and manufacturing environments, with an emphasis on durability, reliability, and heavy-duty operation.</w:t>
      </w:r>
    </w:p>
    <w:p>
      <w:pPr>
        <w:spacing w:after="0" w:line="9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Titan </w:t>
      </w:r>
      <w:r>
        <w:rPr>
          <w:rFonts w:ascii="Times New Roman" w:cs="Times New Roman" w:eastAsia="Times New Roman" w:hAnsi="Times New Roman"/>
          <w:sz w:val="18"/>
          <w:szCs w:val="18"/>
          <w:color w:val="auto"/>
        </w:rPr>
        <w:t>is our line of heavy-duty autonomous mobile robots (“</w:t>
      </w:r>
      <w:r>
        <w:rPr>
          <w:rFonts w:ascii="Times New Roman" w:cs="Times New Roman" w:eastAsia="Times New Roman" w:hAnsi="Times New Roman"/>
          <w:sz w:val="18"/>
          <w:szCs w:val="18"/>
          <w:b w:val="1"/>
          <w:bCs w:val="1"/>
          <w:color w:val="auto"/>
        </w:rPr>
        <w:t>AMR</w:t>
      </w:r>
      <w:r>
        <w:rPr>
          <w:rFonts w:ascii="Times New Roman" w:cs="Times New Roman" w:eastAsia="Times New Roman" w:hAnsi="Times New Roman"/>
          <w:sz w:val="18"/>
          <w:szCs w:val="18"/>
          <w:color w:val="auto"/>
        </w:rPr>
        <w:t>”) delivery focused robots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launched in 2024. Since its debut, the Titan line has become one of the best-selling product families in our indoor delivery and transport category. With the addition of newer configurable models with increased carrying capacity in 2025, the range of applications where Titan can be deployed has expanded significantly. Currently, deployments are primarily focused in retail automotive, warehousing, and manufacturing environments. Units have been deployed across North America, in Canada, the US and Mexico. In fiscal year 2025, Titan broadened our addressable AMR market beyond the hospitality space. We have also continued to improve upon the platform, adding additional sensors to improve navigation and obstacle avoidance in highly complex environments. We are continuing to add additional products to the Titan line as we see a significant expansion opportunity in large industrial manufacturing operations, driven by growing customer demand for automation and increased focus on supply-chain resilience.</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DUST-E </w:t>
      </w:r>
      <w:r>
        <w:rPr>
          <w:rFonts w:ascii="Times New Roman" w:cs="Times New Roman" w:eastAsia="Times New Roman" w:hAnsi="Times New Roman"/>
          <w:sz w:val="18"/>
          <w:szCs w:val="18"/>
          <w:color w:val="auto"/>
        </w:rPr>
        <w:t>is our autonomous commercial cleaning robot product line that features two distinct models:</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S and the MX models.</w:t>
      </w:r>
    </w:p>
    <w:p>
      <w:pPr>
        <w:sectPr>
          <w:pgSz w:w="11900" w:h="16838" w:orient="portrait"/>
          <w:cols w:equalWidth="0" w:num="1">
            <w:col w:w="9019"/>
          </w:cols>
          <w:pgMar w:left="1440" w:top="270" w:right="1440" w:bottom="1440" w:gutter="0" w:footer="0" w:header="0"/>
          <w:type w:val="continuous"/>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S model is designed for medium sized environments under 100,000 square feet. The primary use case for the S is in open commercial spaces such as lobbies of hotels and more challenging surfaces such as those of restaurants where there may be food debris and spills. The S utilizes a high-power vacuum and multi-roller system designed to support efficient one-pass cleaning performance The S comes with many integrated features, including an automatic charging station, scheduled cleaning functions and high-precision localization that brings down the wall gap to approximately three centimeters.</w:t>
      </w:r>
    </w:p>
    <w:p>
      <w:pPr>
        <w:spacing w:after="0" w:line="120"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Future models are expected to include an AI-driven categorization system that adjusts the cleaning routine according to the type and intensity of the soiling being cleaned.</w:t>
      </w:r>
    </w:p>
    <w:p>
      <w:pPr>
        <w:spacing w:after="0" w:line="81" w:lineRule="exact"/>
        <w:rPr>
          <w:sz w:val="20"/>
          <w:szCs w:val="20"/>
          <w:color w:val="auto"/>
        </w:rPr>
      </w:pPr>
    </w:p>
    <w:p>
      <w:pPr>
        <w:jc w:val="both"/>
        <w:ind w:left="540" w:right="559" w:firstLine="432"/>
        <w:spacing w:after="0" w:line="260" w:lineRule="auto"/>
        <w:rPr>
          <w:sz w:val="20"/>
          <w:szCs w:val="20"/>
          <w:color w:val="auto"/>
        </w:rPr>
      </w:pPr>
      <w:r>
        <w:rPr>
          <w:rFonts w:ascii="Times New Roman" w:cs="Times New Roman" w:eastAsia="Times New Roman" w:hAnsi="Times New Roman"/>
          <w:sz w:val="18"/>
          <w:szCs w:val="18"/>
          <w:color w:val="auto"/>
        </w:rPr>
        <w:t>The MX model is our industrial-grade robot capable of cleaning spaces up to 500,000 square feet. Designed with professional cleaning applications, the MX is a floor scrubber tailored to large industrial spaces such as warehouses, factories, large hotel floors, event spaces, schools and universities and department stores. The MX comes in a variety of configurations that accommodate different floor types from bare concrete to more sensitive flooring materials including vinyl tile surfaces Designed for heavy-duty cleaning, the MX comes with a 30-gallon water tank, weighs over 600 pounds and provides a brush pressure of 13.2g/cm</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left="540" w:right="5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Dex </w:t>
      </w:r>
      <w:r>
        <w:rPr>
          <w:rFonts w:ascii="Times New Roman" w:cs="Times New Roman" w:eastAsia="Times New Roman" w:hAnsi="Times New Roman"/>
          <w:sz w:val="18"/>
          <w:szCs w:val="18"/>
          <w:color w:val="auto"/>
        </w:rPr>
        <w:t>is Richtech’s next-generation industrial humanoid robot designed for real-world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logistics and material-handling environments. Building on years of experience in deploying robotic platforms, Dex combines the mobility of an autonomous robot with the dexterity of dual robotic arms, creating a versatile solution for industrial automation.</w:t>
      </w:r>
    </w:p>
    <w:p>
      <w:pPr>
        <w:spacing w:after="0" w:line="113"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Unlike traditional humanoid designs that prioritize form over function, Dex employs a wheeled base to deliver practical stability, energy efficiency and uptime on factory and warehouse floors. This is designed to enable the robot to navigate safely in shared human environments while performing complex manipulation tasks such as part handling, machine tending, quality inspection and packaging.</w:t>
      </w:r>
    </w:p>
    <w:p>
      <w:pPr>
        <w:spacing w:after="0" w:line="9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At its core, Dex is powered by the latest NVIDIA Jetson Thor module, enabling advanced AI capabilities for real-time perception, motion planning and decision-making. Through our internal AI data training pipeline, Dex learns tasks in simulation before refining its performance in the physical world, accelerating deployment and improving reliability. Its modular architecture supports a range of end-effectors and can evolve over time through over-the-air software updates.</w:t>
      </w:r>
    </w:p>
    <w:p>
      <w:pPr>
        <w:spacing w:after="0" w:line="11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Dex represents the Company’s strategic expansion into humanoid automation, bridging the gap between fixed industrial arms and mobile AMRs. Designed for scalability, safety and integration with existing workflows, we believe Dex provides manufacturers and logistics operators with a tangible path to automation that enhances workforce productivity without replacing human expertise. Dex is expected to be officially launched in early 2026.</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Data Services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Under the Data Services pillar, Richtech will be providing data generation services for frontier embodied AI training. We design task environments, operate the robots, collect and standardize the data, and produce high-value datasets that will allow the robots of the future to be smarter, faster, and safer. The addition of Data Services to our product portfolio will support the development of commercial and industrial embodied AI solutions and generate a powerful feedback data loop for foundation-level training to improve general applicability. The existing AI Cloud Platform (ACP) has been incorporated under Data Services and cease to be an independent feature of our business.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 robotics industry’s growth is fueled by existing labor shortages, rising operational costs and increasing adoption of Raas models. Under the RaaS model, the Company provides robotic hardware, AI software, and support services to the end user, and the end user pays monthly over a set contracted term. This offers major benefits to end users as it significantly reduces implementation costs, guarantees warranty and service of the robot, and allows the business to achieve day one ROI. From the Company’s perspective, RaaS accelerates the adoption rate of new technologies, increases the lifetime value of a customer, and provides predictable reoccurring revenue.</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primary market for our embodied AI systems lies in business operations where robotics deliver clear advantages in efficiency, reliability, and cost-effectiveness. As labor and material costs continue to rise, organizations are increasingly seeking ways to maintain or expand output using fewer resources. Automation represents a sustainable long-term solution to this challenge, enabling robots to perform essential yet time-consuming tasks at a fraction of the cost of human labor.</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Richtech is well-positioned to capitalize on major shifts in the global robotics and automotive sectors. According to a recent report from the market research company Mordor Intelligence, the automotive robotics market is forecasted to exceed $30 billion by 2030, driven by strong adoption of automation in vehicle manufacturing, service and aftermarket operations. Key growth factors include labor shortages, electric-vehicle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and autonomous vehicle production demands and an industry-wide focus on efficiency, safety, and quality. Significant opportunities are emerging in retail dealerships, service centers and EV maintenance facilities — areas that strongly align with Richtech’s strengths in autonomous robotics, AI development, and deployment capabilities. We are also expanding our presence within the automotive manufacturing sector.</w:t>
      </w:r>
    </w:p>
    <w:p>
      <w:pPr>
        <w:spacing w:after="0" w:line="107"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More broadly, the global robotics market is expected to grow from $64.8 billion today to $375.82 billion by 2035, reflecting a robust Compound Annual Growth Rate (CAGR) of 17.33%, according to a June 16, 2025 article by Research and Markets, a marketing research company. Richtech’s extensive experience in service robotics, its growing presence in retail automotive and industrial manufacturing and its deep expertise in embodied AI training positions the company to capitalize on the accelerating adoption of robotic solutions across the economy. enable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Future Growth Opportunities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Over the past year, our transition to primarily selling recurring revenue generating products under the RaaS and data services models have been successful. RaaS agreements constituted the majority of signed contracts generated in fiscal year 2025. Building on this success, Richtech is looking to continue to expand into new markets as well as growing revenue through our existing customer base. Below are the key components of our growth strategy for the next fiscal year:</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Expansion of RaaS Products Offerings</w:t>
      </w:r>
    </w:p>
    <w:p>
      <w:pPr>
        <w:spacing w:after="0" w:line="16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fiscal year 2025, we actively worked to explore new applications for robotics and expand the addressable market for our solutions. For example, we are engaged in discussions with a top 5 dealership group in the U.S. One of these groups is already under a fully executed master services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and we are actively deploying to new locations. There is now clear demand for physical automation within retail automotive, which we believe is due at least in part to our market education efforts over the course of fiscal year 2025.</w:t>
      </w:r>
    </w:p>
    <w:p>
      <w:pPr>
        <w:spacing w:after="0" w:line="10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As this is a brand-new market for robotics, we believe there are ample opportunities for embodied AI solutions to generate value. Currently, our Titan robots are being deployed to perform parts delivery within the service departments of retail dealerships to improve technician service speed and efficiency. The deployment of this product with our growing customer base has provided us with industry-specific insights, which we are using to actively develop additional products that can bring equal or higher value. Given the existing customer base, we anticipate that the scaling of new product deployments will be straightforward, as we leverage our brand recognition and the advantage of robot inter-operability within our customers’ space. The development of new solutions within Richtech’s market verticals will allow us to quickly ramp up robot installations and recurring revenue.</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Continued Exploration of Scalable Applications Within New Markets</w:t>
      </w:r>
    </w:p>
    <w:p>
      <w:pPr>
        <w:spacing w:after="0" w:line="16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Beyond large-scale manufacturing and logistics, the broader potential of embodied AI remains largely underdeveloped. This is particularly evident among mid-sized businesses — organizations that are not large enough to justify heavy capital investment in complex automation, yet face real constraints in scaling to meet growing demand. With our proven expertise in designing versatile robotic platforms, Richtech is uniquely positioned to unlock this untapped market and translate the promise of embodied AI into practical, high-value solutions.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plan to continue investing in scalable applications across underserved sectors, leveraging our experience in AI-driven robotics to establish market position. Our Dex robot exemplifies this philosophy: a practical, value-driven platform designed for broad applicability beyond traditional AMRs and dual-arm systems.</w:t>
      </w:r>
    </w:p>
    <w:p>
      <w:pPr>
        <w:spacing w:after="0" w:line="11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envision Dex becoming the preferred solution for labor-dependent workflows — efficient, adaptable across industries, inherently scalable and cost-effective.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Addition of Robotic Data Services</w:t>
      </w:r>
    </w:p>
    <w:p>
      <w:pPr>
        <w:spacing w:after="0" w:line="14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formalization of Data Services as an independent pillar is to underscore the importance of data expertise in the development of embodied AI solutions. The data expertise and market knowledge that Richtech has built up over the years have been the foundation for the success of our robots in the field. We now aim to extend this expertise to partners developing next-generation embodied AI solutions.</w:t>
      </w:r>
    </w:p>
    <w:p>
      <w:pPr>
        <w:spacing w:after="0" w:line="112" w:lineRule="exact"/>
        <w:rPr>
          <w:sz w:val="20"/>
          <w:szCs w:val="20"/>
          <w:color w:val="auto"/>
        </w:rPr>
      </w:pPr>
    </w:p>
    <w:p>
      <w:pPr>
        <w:jc w:val="both"/>
        <w:ind w:left="540" w:right="559" w:firstLine="432"/>
        <w:spacing w:after="0" w:line="277" w:lineRule="auto"/>
        <w:rPr>
          <w:sz w:val="20"/>
          <w:szCs w:val="20"/>
          <w:color w:val="auto"/>
        </w:rPr>
      </w:pPr>
      <w:r>
        <w:rPr>
          <w:rFonts w:ascii="Times New Roman" w:cs="Times New Roman" w:eastAsia="Times New Roman" w:hAnsi="Times New Roman"/>
          <w:sz w:val="17"/>
          <w:szCs w:val="17"/>
          <w:color w:val="auto"/>
        </w:rPr>
        <w:t>Companies will be able to acquire raw standardized real-world robotics operation datasets of joint trajectories, gripper contact manipulations and more. All data is anchored in the United States to reduce regulatory and security risks. Richtech will be providing the physical-world equivalent of a data pipeline for frontier embodied AI training. We design the task environment, operate the robots, collect and standardize the data and produce high-value datasets that will allow the robots of the future to be smarter, faster, and safer.</w:t>
      </w:r>
    </w:p>
    <w:p>
      <w:pPr>
        <w:spacing w:after="0" w:line="10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Through the performance of data services for strategic partners, Richtech is working to establish itself in embodied AI training and expanding its reach within the AI and robotic ecosystem. We are currently working with some of the most cutting-edge AI companies to develop the basic foundation models that will later be used as the basis for generalized robotic solutions. In addition to being a source of revenue growth, we anticipate that providing data services will cement Richtech as a global AI leader and widen technological moats with our competitors.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Global Expansion Across Key Markets</w:t>
      </w:r>
    </w:p>
    <w:p>
      <w:pPr>
        <w:spacing w:after="0" w:line="14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part of our long-term growth strategy, we are taking steps to pursue expansion into selected international markets. Through a combination of joint ventures, distributor partnerships and direct sales, we hope to build a strong and scalable presence in these select international markets. These initiatives are currently in various stages of planning and discussions, but no formal agreements have been executed yet.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believe we are one of the current leaders in the embodied AI robotics industry for the following reasons:</w:t>
      </w:r>
    </w:p>
    <w:p>
      <w:pPr>
        <w:spacing w:after="0" w:line="90" w:lineRule="exact"/>
        <w:rPr>
          <w:sz w:val="20"/>
          <w:szCs w:val="20"/>
          <w:color w:val="auto"/>
        </w:rPr>
      </w:pPr>
    </w:p>
    <w:p>
      <w:pPr>
        <w:jc w:val="both"/>
        <w:ind w:left="1400" w:right="559" w:hanging="424"/>
        <w:spacing w:after="0" w:line="253" w:lineRule="auto"/>
        <w:tabs>
          <w:tab w:leader="none" w:pos="13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Mover Advantage: </w:t>
      </w:r>
      <w:r>
        <w:rPr>
          <w:rFonts w:ascii="Times New Roman" w:cs="Times New Roman" w:eastAsia="Times New Roman" w:hAnsi="Times New Roman"/>
          <w:sz w:val="18"/>
          <w:szCs w:val="18"/>
          <w:color w:val="auto"/>
        </w:rPr>
        <w:t>The commercial service robotics market has no clearly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leader. Our Matradee robot is one of the earliest restaurant service robots to launch in the U.S. market, and we believe we are recognized by customers and competitors as an established brand in several market verticals. Based on our extensive knowledge of the service robotics industry, we believe ADAM to be one of the earliest commercialized humanoid robots in the U.S. that can be utilized to serve both food and beverages in a real-world environment. As a company on the cutting edge, Richtech is often the trailblazer of new and innovative robotic solutions in previously unexplored markets. Being the pioneer for these new markets presents significant first mover advantages such as brand recognition, market share, thought leadership and economies of scale. In many cases, we believe the deployment of our robotic solutions within a customer’s operations locks out competition due to inter-operability issues between different robot vendors.</w:t>
      </w:r>
    </w:p>
    <w:p>
      <w:pPr>
        <w:spacing w:after="0" w:line="326"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Deployment Experience and Market Knowledge: </w:t>
      </w:r>
      <w:r>
        <w:rPr>
          <w:rFonts w:ascii="Times New Roman" w:cs="Times New Roman" w:eastAsia="Times New Roman" w:hAnsi="Times New Roman"/>
          <w:sz w:val="18"/>
          <w:szCs w:val="18"/>
          <w:color w:val="auto"/>
        </w:rPr>
        <w:t>The accumulation of experience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U.S. robotics sector gives us an upper hand against new market entrants. Our understanding of market dynamics and operational practices built up over the last several years creates a significant moat between us and our competitors. This knowledge also allows us to be nimble and focus on non-obvious profit centers and verticals. We understand what models work and why they work, allowing our team to build long-term strategic plans with minimized risk. Together with our technological expertise in building and training embodied AI systems, we can execute aggressive expansion plans in nascent markets with relatively low risk.</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jc w:val="both"/>
        <w:ind w:left="1400" w:right="559" w:hanging="424"/>
        <w:spacing w:after="0" w:line="255" w:lineRule="auto"/>
        <w:tabs>
          <w:tab w:leader="none" w:pos="13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Reliable Technology: </w:t>
      </w:r>
      <w:r>
        <w:rPr>
          <w:rFonts w:ascii="Times New Roman" w:cs="Times New Roman" w:eastAsia="Times New Roman" w:hAnsi="Times New Roman"/>
          <w:sz w:val="18"/>
          <w:szCs w:val="18"/>
          <w:color w:val="auto"/>
        </w:rPr>
        <w:t>Our advanced AI algorithms provide our robots with what we believe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best-in-class reliability and performance. The combination of advanced sensors and redundant obstacle avoidance protocols makes our robots safe and intelligent. With years of deployment and development experience, we have deep confidence in our ability to reliably deploy robots in real, uncontrolled customer environments. Our expertise in training embodied AI models further strengthens our capacity to create robotic solutions tailored to each customer’s workflow. Together, we believe this experience positions Richtech as a market-defining leader in robotic design and deployment.</w:t>
      </w:r>
    </w:p>
    <w:p>
      <w:pPr>
        <w:spacing w:after="0" w:line="117" w:lineRule="exact"/>
        <w:rPr>
          <w:rFonts w:ascii="Times New Roman" w:cs="Times New Roman" w:eastAsia="Times New Roman" w:hAnsi="Times New Roman"/>
          <w:sz w:val="18"/>
          <w:szCs w:val="18"/>
          <w:b w:val="1"/>
          <w:bCs w:val="1"/>
          <w:color w:val="auto"/>
        </w:rPr>
      </w:pPr>
    </w:p>
    <w:p>
      <w:pPr>
        <w:jc w:val="both"/>
        <w:ind w:left="1400" w:right="559" w:hanging="424"/>
        <w:spacing w:after="0" w:line="254"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 Product Offerings and Synergies: </w:t>
      </w:r>
      <w:r>
        <w:rPr>
          <w:rFonts w:ascii="Times New Roman" w:cs="Times New Roman" w:eastAsia="Times New Roman" w:hAnsi="Times New Roman"/>
          <w:sz w:val="18"/>
          <w:szCs w:val="18"/>
          <w:color w:val="auto"/>
        </w:rPr>
        <w:t>Unlike our competitors that only provide one robot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one type of robot, we have a breadth of robotic solutions to deploy depending on a client’s needs. This is advantageous as we can bring in new customers from a variety of different use cases and encourage customers to consider other robotic solutions, providing a holistic approach to our client’s needs. If a hotel client is having difficulty finding servers for their restaurants, they are most likely also experiencing shortages in cleaning staff, front desk staff, room service staff, cooks, greeters, bartenders etc. Having a variety of products not only provides clients with a one-stop-shop for their service robotic needs, it also demonstrates that we are a reliable resource to consult as they approach the general adoption and implementation of robotic solutions across different parts of their business. A broad product offering also opens opportunities for cross-selling and upselling within the same customer base.</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Partnerships: </w:t>
      </w:r>
      <w:r>
        <w:rPr>
          <w:rFonts w:ascii="Times New Roman" w:cs="Times New Roman" w:eastAsia="Times New Roman" w:hAnsi="Times New Roman"/>
          <w:sz w:val="18"/>
          <w:szCs w:val="18"/>
          <w:color w:val="auto"/>
        </w:rPr>
        <w:t>We have executed MSAs with market leaders in hospitality,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automotive. Our established partnerships with leading companies in the robotics and AI space are a significant competitive advantage. We expect to continue to cultivate relationships with corporate end users and technology leaders to expand the scope of opportunities and resources available to the company.</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w:t>
      </w:r>
      <w:r>
        <w:rPr>
          <w:rFonts w:ascii="Times New Roman" w:cs="Times New Roman" w:eastAsia="Times New Roman" w:hAnsi="Times New Roman"/>
          <w:sz w:val="18"/>
          <w:szCs w:val="18"/>
          <w:color w:val="auto"/>
        </w:rPr>
        <w:t>The RaaS model gives Richtech a meaningful competitive advantage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lowering the barriers to adoption and allowing customers to deploy advanced robotics without significant upfront investment. We believe this business model helps us accelerate market penetration, expand our customer base, and ensure predictable long-term revenues. Additionally, continuous data flow from deployed robots enables us to improve performance, anticipate service needs, and deliver higher uptime than competitors relying on traditional sales models. The result is stronger customer retention, higher lifetime value, and a scalable service-driven business that is difficult for new entrants to replicate.</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Coverage: </w:t>
      </w:r>
      <w:r>
        <w:rPr>
          <w:rFonts w:ascii="Times New Roman" w:cs="Times New Roman" w:eastAsia="Times New Roman" w:hAnsi="Times New Roman"/>
          <w:sz w:val="18"/>
          <w:szCs w:val="18"/>
          <w:color w:val="auto"/>
        </w:rPr>
        <w:t>Richtech provides comprehensive deployment and maintenance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the continental United States, Canada, Mexico, Puerto Rico, and Hawaii. We have several hundred active deployments in the U.S. alone, complemented by additional installations in Canada, Mexico, and Australia. We are also expanding our global footprint. By increasing our geographic reach and total addressable market, we can accelerate business growth and leverage economies of scale — strengthening our competitive position and improving overall operational efficiency.</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Services: </w:t>
      </w:r>
      <w:r>
        <w:rPr>
          <w:rFonts w:ascii="Times New Roman" w:cs="Times New Roman" w:eastAsia="Times New Roman" w:hAnsi="Times New Roman"/>
          <w:sz w:val="18"/>
          <w:szCs w:val="18"/>
          <w:color w:val="auto"/>
        </w:rPr>
        <w:t>Our ability to generate proprietary training datasets to train robotic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a fundamental advantage over competitors that rely on third-party data sources. This capability not only reduces costs for us, but also enables faster, more agile product development and access to highly targeted training data for specific applications. As a result, we continue to build a competitive moat through superior product performance and intellectual property. For a robotics company, the data is as important as the hardware and AI models themselves.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As a leading provider of embodied AI robotic solutions, we intend to continue expanding the business by developing, manufacturing and deploying novel products that address the growing need for automation across all key target sectors. The key components to our growth strategy include:</w:t>
      </w:r>
    </w:p>
    <w:p>
      <w:pPr>
        <w:spacing w:after="0" w:line="104" w:lineRule="exact"/>
        <w:rPr>
          <w:sz w:val="20"/>
          <w:szCs w:val="20"/>
          <w:color w:val="auto"/>
        </w:rPr>
      </w:pPr>
    </w:p>
    <w:p>
      <w:pPr>
        <w:jc w:val="both"/>
        <w:ind w:left="1400" w:right="559" w:hanging="424"/>
        <w:spacing w:after="0" w:line="262" w:lineRule="auto"/>
        <w:tabs>
          <w:tab w:leader="none" w:pos="13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Growing our commercial organization: </w:t>
      </w:r>
      <w:r>
        <w:rPr>
          <w:rFonts w:ascii="Times New Roman" w:cs="Times New Roman" w:eastAsia="Times New Roman" w:hAnsi="Times New Roman"/>
          <w:sz w:val="18"/>
          <w:szCs w:val="18"/>
          <w:color w:val="auto"/>
        </w:rPr>
        <w:t>We plan to continue to expand our sales teams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our coverage across specific target verticals. Currently, we are in the process of expanding sales and fulfillment teams specializing in either commercial or industrial applications. Sales teams shall be guided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jc w:val="both"/>
        <w:ind w:left="1400" w:right="559"/>
        <w:spacing w:after="0" w:line="266" w:lineRule="auto"/>
        <w:rPr>
          <w:sz w:val="20"/>
          <w:szCs w:val="20"/>
          <w:color w:val="auto"/>
        </w:rPr>
      </w:pPr>
      <w:r>
        <w:rPr>
          <w:rFonts w:ascii="Times New Roman" w:cs="Times New Roman" w:eastAsia="Times New Roman" w:hAnsi="Times New Roman"/>
          <w:sz w:val="18"/>
          <w:szCs w:val="18"/>
          <w:color w:val="auto"/>
        </w:rPr>
        <w:t>by specific quantitative KPIs and sales goals aimed at maximizing robot deployment quantities. Support and fulfillment teams will continue to be scaled along with the number of deployments, focused on timely delivery and exceptional customer service.</w:t>
      </w:r>
    </w:p>
    <w:p>
      <w:pPr>
        <w:spacing w:after="0" w:line="104" w:lineRule="exact"/>
        <w:rPr>
          <w:sz w:val="20"/>
          <w:szCs w:val="20"/>
          <w:color w:val="auto"/>
        </w:rPr>
      </w:pPr>
    </w:p>
    <w:p>
      <w:pPr>
        <w:jc w:val="both"/>
        <w:ind w:left="1400" w:right="559" w:hanging="424"/>
        <w:spacing w:after="0" w:line="256"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deep expertise in robotic data generation and AI training: </w:t>
      </w:r>
      <w:r>
        <w:rPr>
          <w:rFonts w:ascii="Times New Roman" w:cs="Times New Roman" w:eastAsia="Times New Roman" w:hAnsi="Times New Roman"/>
          <w:sz w:val="18"/>
          <w:szCs w:val="18"/>
          <w:color w:val="auto"/>
        </w:rPr>
        <w:t>Deep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data generation and AI training is a strategic imperative. As embodied AI systems become increasingly capable, their performance, reliability and adaptability are determined by the breadth and quality of the data used to train them. With our own data pipelines — from collection to annotation to real world model optimization — we can iterate faster, improve safety and accuracy, and deploy robots that can handle the complex, unstructured environments found across real-world industries.</w:t>
      </w:r>
    </w:p>
    <w:p>
      <w:pPr>
        <w:spacing w:after="0" w:line="105" w:lineRule="exact"/>
        <w:rPr>
          <w:rFonts w:ascii="Times New Roman" w:cs="Times New Roman" w:eastAsia="Times New Roman" w:hAnsi="Times New Roman"/>
          <w:sz w:val="18"/>
          <w:szCs w:val="18"/>
          <w:color w:val="auto"/>
        </w:rPr>
      </w:pPr>
    </w:p>
    <w:p>
      <w:pPr>
        <w:jc w:val="both"/>
        <w:ind w:left="1400" w:right="5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data expertise is expected to not only fuel superior product performance but also create a durable competitive edge. It enables the continuous improvement of navigation, manipulation, perception, and decision-making models across our embodied AI platforms. It also allows us to scale new capabilities more efficiently, reduce deployment friction, and rapidly respond to customer needs with AI systems that improve over time. Ultimately, we believe that our data and training positions Richtech as a category-defining player in embodied AI — one able to deliver robots that are more autonomous, more reliable and more valuable to customers across global markets.</w:t>
      </w:r>
    </w:p>
    <w:p>
      <w:pPr>
        <w:spacing w:after="0" w:line="120"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enterprise partnerships: </w:t>
      </w:r>
      <w:r>
        <w:rPr>
          <w:rFonts w:ascii="Times New Roman" w:cs="Times New Roman" w:eastAsia="Times New Roman" w:hAnsi="Times New Roman"/>
          <w:sz w:val="18"/>
          <w:szCs w:val="18"/>
          <w:color w:val="auto"/>
        </w:rPr>
        <w:t>We plan to continue to place strong emphasis on 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relationships in all target sectors as well as building relationships with technology partners. We see enterprise adoption as a key marker towards general market adoption. Cultivating partnerships with AI and other industry partners will be essential in monopolizing industry defining opportunities in the embodied AI space.</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Expanding our R&amp;D team:</w:t>
      </w:r>
      <w:r>
        <w:rPr>
          <w:rFonts w:ascii="Times New Roman" w:cs="Times New Roman" w:eastAsia="Times New Roman" w:hAnsi="Times New Roman"/>
          <w:sz w:val="18"/>
          <w:szCs w:val="18"/>
          <w:color w:val="auto"/>
        </w:rPr>
        <w:t>We intend to continue to invest heavily in the technical development of our data pipeline, AI training workflows, and new and more advanced robots. We are actively adding to our technical teams to accelerate development speed. This will allow our robots to be deployed in ever more complex environments and open additional markets for our solutions.</w:t>
      </w:r>
    </w:p>
    <w:p>
      <w:pPr>
        <w:spacing w:after="0" w:line="321"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of Humanoid Products: </w:t>
      </w:r>
      <w:r>
        <w:rPr>
          <w:rFonts w:ascii="Times New Roman" w:cs="Times New Roman" w:eastAsia="Times New Roman" w:hAnsi="Times New Roman"/>
          <w:sz w:val="18"/>
          <w:szCs w:val="18"/>
          <w:color w:val="auto"/>
        </w:rPr>
        <w:t>Dual-arm robotic systems will remain a core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 for the company. The launch of Dex exemplifies Richtech’s commitment to delivering advanced, broadly applicable embodied AI solutions that provide meaningful value in real-world environments. These dual-arm platforms are engineered as versatile AI systems that can be trained to perform customer-specific workflows with a high degree of reliability and precision. By enabling automation in tasks traditionally considered too complex for robotics, they dramatically expand the range of viable applications. We believe that the success of platforms like Dex will unlock an entirely new dimension of capability and impact for embodied AI solutions.</w:t>
      </w:r>
    </w:p>
    <w:p>
      <w:pPr>
        <w:spacing w:after="0" w:line="120"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Commitment to RaaS: </w:t>
      </w:r>
      <w:r>
        <w:rPr>
          <w:rFonts w:ascii="Times New Roman" w:cs="Times New Roman" w:eastAsia="Times New Roman" w:hAnsi="Times New Roman"/>
          <w:sz w:val="18"/>
          <w:szCs w:val="18"/>
          <w:color w:val="auto"/>
        </w:rPr>
        <w:t>Our transition to a RaaS business model for the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mainstream robot solutions has been successful. The RaaS model offers a more flexible, cost-effective, and scalable solution compared to outright robot purchases, making it the smarter choice for both Richtech and our customers. RaaS creates a predictable, recurring revenue stream rather than relying on sporadic, high-stakes sales cycles. This subscription-based model supports long-term planning, reduces reliance on constantly finding new customers, and fosters lasting customer relationships that drive loyalty and feedback loops for product improvement.</w:t>
      </w:r>
    </w:p>
    <w:p>
      <w:pPr>
        <w:spacing w:after="0" w:line="119" w:lineRule="exact"/>
        <w:rPr>
          <w:rFonts w:ascii="Times New Roman" w:cs="Times New Roman" w:eastAsia="Times New Roman" w:hAnsi="Times New Roman"/>
          <w:sz w:val="18"/>
          <w:szCs w:val="18"/>
          <w:color w:val="auto"/>
        </w:rPr>
      </w:pPr>
    </w:p>
    <w:p>
      <w:pPr>
        <w:jc w:val="both"/>
        <w:ind w:left="1400" w:right="5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industries with evolving needs, such automotive dealerships, RaaS aligns exceptionally well with goals of both the customer and the provider, transforming robotics from a one-time transaction into a sustainable and profitable partnership. Through these partnerships, we plan to deepen our understanding of the markets we serve and develop new high-value solutions that are tailored to customer needs. In the long run, we believe this approach will enhance the value of our robotic solutions, enabling us to create an integrated ecosystem that addresses broader business challenges and delivers greater value to our customers.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9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jc w:val="both"/>
        <w:ind w:left="1400" w:right="559" w:hanging="424"/>
        <w:spacing w:after="0" w:line="254" w:lineRule="auto"/>
        <w:tabs>
          <w:tab w:leader="none" w:pos="13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Launch and scale our robotics franchise brand: </w:t>
      </w:r>
      <w:r>
        <w:rPr>
          <w:rFonts w:ascii="Times New Roman" w:cs="Times New Roman" w:eastAsia="Times New Roman" w:hAnsi="Times New Roman"/>
          <w:sz w:val="18"/>
          <w:szCs w:val="18"/>
          <w:color w:val="auto"/>
        </w:rPr>
        <w:t>Our first robotic franchise location opened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early 2025 in Las Vegas for our Clouffee &amp; Tea Robotic restaurant brand. We have identified several additional sites and are preparing to open more stores through a combination of corporate-owned and franchise-operated locations. All restaurant operations will be done through our subsidiary hospitality management company, Alphamax Management. A robotics-based restaurant business aims to address the two biggest challenges facing franchisees of traditional restaurants today, which are labor and quality consistency. This opens the way for a wide variety of scalable businesses based on the ADAM and Scorpion system. We expect the robotic restaurant business will continue to generate recurring revenue. In 2025, Alphamax Management generated approximately $602 thousand in revenue from restaurant operations.</w:t>
      </w:r>
    </w:p>
    <w:p>
      <w:pPr>
        <w:spacing w:after="0" w:line="12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See the section entitled “Business — Our Strategies” included in our Annual Report on Form 10-K for the year ended September 30, 2025 for more details.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rely on a combination of federal, state, and common law rights, including patent, copyright, trademark, and trade secret laws, to protect our proprietary robotics hardware, software, and brand identity. We currently have five issued U.S. patents and three pending U.S. patent applications. We also maintain five U.S. trademark registrations and have one U.S. trademark applications pending, covering our corporate name and key product marks. In addition, we rely on trade secrets and proprietary know-how, which we protect through confidentiality agreements with employees, contractors, and business partners. See the section entitled “Business — Intellectual Property” included in our Annual Report on Form 10-K for the year ended September 30, 2025 for more details.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These risks are discussed more fully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prospectus and in the section titled “Risk Factors” included in our Annual Report on Form 10-K for the year ended September 30, 2023. Before you make a decision to invest in our Class B common stock, you should carefully consider all of those risks including the following:</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162" w:lineRule="exact"/>
        <w:rPr>
          <w:sz w:val="20"/>
          <w:szCs w:val="20"/>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market, which makes it difficult to evaluate our business and prospects. If markets for service robotics develop more slowly than we expect, or long-term end-customer adoption rates and demand are slower than we expect, our operating results and growth prospects could be harmed.</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industry that is subject to rapid technological change and will experience increasing competition.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Future capital needs may require us to sell additional equity or debt securities that may dilute its stockholders.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operating our robots in a variety of environments. Unforeseen safety issues with our products could result in injuries to people which could result in adverse effects on our business and reputation.</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target many customers, suppliers and production counterparties that are large corporations with substantial negotiating power, exacting product, quality and warranty standards and potentially competitive internal solutions. If we are unable to sell our products to these customers or are unable to enter into agreements with customers, suppliers and production counterparties on satisfactory terms, our prospects and results of operations will be adversely affected.</w:t>
      </w:r>
    </w:p>
    <w:p>
      <w:pPr>
        <w:spacing w:after="0" w:line="119"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successfully manage product introductions and transitions in order to remain competitive.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plans, if implemented, will subject us to a variety of risks that may harm our business.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implement strategic initiatives designed to grow our business. These initiatives may prove costlier than we currently anticipate and we may not succeed in increasing our revenue in an amount sufficient to offset the costs of these initiatives and to achieve and maintain profitability.</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0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4308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62" w:lineRule="exact"/>
        <w:rPr>
          <w:sz w:val="20"/>
          <w:szCs w:val="20"/>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enforce our intellectual property or proprietary rights, our business and operating results could be harmed.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patented technology, we rely on our unpatented proprietary technology, trade secrets, designs, experiences, work flows, data, processes, software and know-how.</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certain number of our agreements, we are required to provide indemnification in the event our technology causes harm to third parties.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Compliance</w:t>
      </w:r>
    </w:p>
    <w:p>
      <w:pPr>
        <w:spacing w:after="0" w:line="162" w:lineRule="exact"/>
        <w:rPr>
          <w:sz w:val="20"/>
          <w:szCs w:val="20"/>
          <w:color w:val="auto"/>
        </w:rPr>
      </w:pPr>
    </w:p>
    <w:p>
      <w:pPr>
        <w:jc w:val="both"/>
        <w:ind w:left="1400" w:right="559" w:hanging="424"/>
        <w:spacing w:after="0" w:line="25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design, manufacturing, marketing, distribution, servicing, or use of its products, and a failure to comply with such regulations could lead to withdrawal or recall of our products from the market, delay our projected revenues, increase cost, or make our business unviable if it is unable to modify its products to comply.</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legal and regulatory proceedings and commercial or contractual disputes, which could have an adverse effect on our profitability and financial position.</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and must remain in compliance with, numerous laws and governmental regulations across various jurisdictions concerning the manufacturing, use, distribution and sale of our products.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General Risks Associated with Our Company</w:t>
      </w:r>
    </w:p>
    <w:p>
      <w:pPr>
        <w:spacing w:after="0" w:line="162" w:lineRule="exact"/>
        <w:rPr>
          <w:sz w:val="20"/>
          <w:szCs w:val="20"/>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evolving business make it difficult to evaluate our current business and future prospects.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members of our senior management team, we may not be able to execute our business strategy.</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acquisitions, which involve a number of risks, and if we are unable to address and resolve these risks successfully, such acquisitions could harm our business.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 and expansion of our operations will also require us to enhance our operational, financial and management controls and infrastructure, human resources policies and reporting systems. These enhancements and improvements will require significant capital expenditures and allocation of valuable management and employee resources.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will be able take advantage of reduced disclosure requirements applicable to “emerging growth companies,” which could make our Class B common stock less attractive to investors.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as of September 30, 2025.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significantly increased costs as a result of and devote substantial management time to operating as a public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the Ownership of Our Class B Common Stock</w:t>
      </w:r>
    </w:p>
    <w:p>
      <w:pPr>
        <w:spacing w:after="0" w:line="148" w:lineRule="exact"/>
        <w:rPr>
          <w:sz w:val="20"/>
          <w:szCs w:val="20"/>
          <w:color w:val="auto"/>
        </w:rPr>
      </w:pPr>
    </w:p>
    <w:p>
      <w:pPr>
        <w:ind w:left="1400" w:hanging="42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B common stock may not develop or be sustained.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Class B common stock may continue to be highly volatile, which could lead to a loss of all or part of a stockholder’s investment.</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79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479030"/>
                    </a:xfrm>
                    <a:prstGeom prst="rect">
                      <a:avLst/>
                    </a:prstGeom>
                    <a:noFill/>
                  </pic:spPr>
                </pic:pic>
              </a:graphicData>
            </a:graphic>
          </wp:anchor>
        </w:drawing>
      </w:r>
    </w:p>
    <w:p>
      <w:pPr>
        <w:spacing w:after="0" w:line="327" w:lineRule="exact"/>
        <w:rPr>
          <w:sz w:val="20"/>
          <w:szCs w:val="20"/>
          <w:color w:val="auto"/>
        </w:rPr>
      </w:pPr>
    </w:p>
    <w:p>
      <w:pPr>
        <w:jc w:val="both"/>
        <w:ind w:left="1400" w:right="559" w:hanging="424"/>
        <w:spacing w:after="0" w:line="266"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common stock has the effect of concentrating voting power, which may limit your ability to influence the outcome of important transactions, including a change in control.</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common stock may adversely affect the trading market for our Class B common stock.</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continue to be able to comply with the continued listing standards of Nasdaq.</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have substantial control over us and could delay or prevent a change of corporate control.</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62" w:lineRule="exact"/>
        <w:rPr>
          <w:sz w:val="20"/>
          <w:szCs w:val="20"/>
          <w:color w:val="auto"/>
        </w:rPr>
      </w:pPr>
    </w:p>
    <w:p>
      <w:pPr>
        <w:ind w:left="1400" w:right="559" w:hanging="424"/>
        <w:spacing w:after="0" w:line="282"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sales practice requirements may limit a stockholder’s ability to buy and sell our Class B common stock.</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the anticipation of the sale by the Selling Stockholder may have an adverse effect upon the market price of our Class B common stock.</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shares at different times will likely pay different prices.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For as long as we remain an emerging growth company, we may take advantage of certain exemptions from various reporting requirements that are applicable to other public companies. These provisions include, but are not limited to:</w:t>
      </w:r>
    </w:p>
    <w:p>
      <w:pPr>
        <w:spacing w:after="0" w:line="99" w:lineRule="exact"/>
        <w:rPr>
          <w:sz w:val="20"/>
          <w:szCs w:val="20"/>
          <w:color w:val="auto"/>
        </w:rPr>
      </w:pPr>
    </w:p>
    <w:p>
      <w:pPr>
        <w:jc w:val="both"/>
        <w:ind w:left="1400" w:right="559" w:hanging="424"/>
        <w:spacing w:after="0" w:line="266"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in our periodic reports, registration statements, and proxy statements; and</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94"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1" w:lineRule="exact"/>
        <w:rPr>
          <w:sz w:val="20"/>
          <w:szCs w:val="20"/>
          <w:color w:val="auto"/>
        </w:rPr>
      </w:pPr>
    </w:p>
    <w:p>
      <w:pPr>
        <w:jc w:val="both"/>
        <w:ind w:left="540" w:right="559" w:firstLine="4"/>
        <w:spacing w:after="0" w:line="251"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2490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249047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 Controlled Company</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co-founder and Chief Executive Officer, Zhenwu (Wayne) Huang, beneficially owns 30,308,000 shares of Class A common stock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220,000 shares of Class B common stock as of February 17, 2026, representing approximately 52% of the total voting power of our issued and outstanding shares of common stock. As a result, we are a “controlled company” as defined under the Nasdaq Stock Market Rules, because Zhenwu (Wayne) Huang holds more than 50% of the voting power for the election of directors. As a “controlled company,” we are permitted to elect not to comply with certain corporate governance requirements. If we rely on these exemptions, you will not have the same protection afforded to stockholders of companies that are subject to these corporate governance requirements.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Principal Offices</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2975 Lincoln Rd, Las Vegas, NV 89115. Our telephone number is (866) 236-3835. Our website address is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The information contained on, or that can be accessed through, our website or any other website is not a part of this prospectus.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93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39389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B common stock offered by the Selling Stockholder</w:t>
      </w:r>
    </w:p>
    <w:p>
      <w:pPr>
        <w:spacing w:after="0" w:line="114" w:lineRule="exact"/>
        <w:rPr>
          <w:sz w:val="20"/>
          <w:szCs w:val="20"/>
          <w:color w:val="auto"/>
        </w:rPr>
      </w:pPr>
    </w:p>
    <w:p>
      <w:pPr>
        <w:jc w:val="right"/>
        <w:ind w:left="540" w:right="720"/>
        <w:spacing w:after="0" w:line="317" w:lineRule="auto"/>
        <w:rPr>
          <w:sz w:val="20"/>
          <w:szCs w:val="20"/>
          <w:color w:val="auto"/>
        </w:rPr>
      </w:pPr>
      <w:r>
        <w:rPr>
          <w:rFonts w:ascii="Times New Roman" w:cs="Times New Roman" w:eastAsia="Times New Roman" w:hAnsi="Times New Roman"/>
          <w:sz w:val="17"/>
          <w:szCs w:val="17"/>
          <w:b w:val="1"/>
          <w:bCs w:val="1"/>
          <w:color w:val="auto"/>
        </w:rPr>
        <w:t>Class B common stock outstanding immediately before this offering</w:t>
      </w:r>
    </w:p>
    <w:p>
      <w:pPr>
        <w:spacing w:after="0" w:line="105" w:lineRule="exact"/>
        <w:rPr>
          <w:sz w:val="20"/>
          <w:szCs w:val="20"/>
          <w:color w:val="auto"/>
        </w:rPr>
      </w:pPr>
    </w:p>
    <w:p>
      <w:pPr>
        <w:ind w:left="720" w:right="40" w:hanging="179"/>
        <w:spacing w:after="0" w:line="262" w:lineRule="auto"/>
        <w:rPr>
          <w:sz w:val="20"/>
          <w:szCs w:val="20"/>
          <w:color w:val="auto"/>
        </w:rPr>
      </w:pPr>
      <w:r>
        <w:rPr>
          <w:rFonts w:ascii="Times New Roman" w:cs="Times New Roman" w:eastAsia="Times New Roman" w:hAnsi="Times New Roman"/>
          <w:sz w:val="18"/>
          <w:szCs w:val="18"/>
          <w:b w:val="1"/>
          <w:bCs w:val="1"/>
          <w:color w:val="auto"/>
        </w:rPr>
        <w:t>Class B common stock to be outstanding immediately after this offering (assuming all of the shares offered in this offering have been issued and sold)</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8,500,000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175,161,127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183,661,127 shares.</w:t>
      </w:r>
      <w:r>
        <w:rPr>
          <w:rFonts w:ascii="Times New Roman" w:cs="Times New Roman" w:eastAsia="Times New Roman" w:hAnsi="Times New Roman"/>
          <w:sz w:val="20"/>
          <w:szCs w:val="20"/>
          <w:color w:val="auto"/>
          <w:vertAlign w:val="superscript"/>
        </w:rPr>
        <w:t>(1)</w:t>
      </w:r>
    </w:p>
    <w:p>
      <w:pPr>
        <w:spacing w:after="0" w:line="175"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Class B common stock held by the Selling Stockholder being registered in this prospectus.</w:t>
      </w:r>
    </w:p>
    <w:p>
      <w:pPr>
        <w:spacing w:after="0" w:line="145" w:lineRule="exact"/>
        <w:rPr>
          <w:sz w:val="20"/>
          <w:szCs w:val="20"/>
          <w:color w:val="auto"/>
        </w:rPr>
      </w:pPr>
    </w:p>
    <w:p>
      <w:pPr>
        <w:sectPr>
          <w:pgSz w:w="11900" w:h="16838" w:orient="portrait"/>
          <w:cols w:equalWidth="0" w:num="2">
            <w:col w:w="3940" w:space="140"/>
            <w:col w:w="4939"/>
          </w:cols>
          <w:pgMar w:left="1440" w:top="270" w:right="1440" w:bottom="1440" w:gutter="0" w:footer="0" w:header="0"/>
          <w:type w:val="continuous"/>
        </w:sectPr>
      </w:pPr>
    </w:p>
    <w:p>
      <w:pPr>
        <w:ind w:left="54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You  should  carefully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together with all of the other information included in or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incorporated by reference, in this prospectus before deciding</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whether to invest in our Class B common stock.</w:t>
      </w:r>
    </w:p>
    <w:p>
      <w:pPr>
        <w:spacing w:after="0" w:line="176" w:lineRule="exact"/>
        <w:rPr>
          <w:sz w:val="20"/>
          <w:szCs w:val="20"/>
          <w:color w:val="auto"/>
        </w:rPr>
      </w:pPr>
    </w:p>
    <w:p>
      <w:pPr>
        <w:ind w:left="54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Nasdaq symbol</w:t>
      </w:r>
      <w:r>
        <w:rPr>
          <w:sz w:val="20"/>
          <w:szCs w:val="20"/>
          <w:color w:val="auto"/>
        </w:rPr>
        <w:tab/>
      </w:r>
      <w:r>
        <w:rPr>
          <w:rFonts w:ascii="Times New Roman" w:cs="Times New Roman" w:eastAsia="Times New Roman" w:hAnsi="Times New Roman"/>
          <w:sz w:val="17"/>
          <w:szCs w:val="17"/>
          <w:color w:val="auto"/>
        </w:rPr>
        <w:t>“RR.”</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98" w:lineRule="auto"/>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Class B common stock to be outstanding after this offering is based on 175,161,127 shares of our Class B common stock outstanding as of January 20, 2026.</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Class B common stock involves a high degree of risk. You should carefully consider the risks and uncertainties described below, as well as the risks set forth under the section titled “Risk Factors” in our Annual Report on Form 10-K for the year ended September 30, 2025, which is incorporated by reference herein. You should also refer to the other information contained in this prospectus and the documents incorporated by reference herein, including the section titled “Management’s Discussion and Analysis of Financial Condition and Results of Operations” and our consolidated financial statements and related notes included in our Annual Report on Form 10-K for the year ended September 30, 2025, before making a decision to invest in our Class B common stock. Our business, operating results, financial condition, or prospects could be materially and adversely affected by any of these risks and uncertainties. If any of these risks actually occurs, the trading price of our Class B common stock could decline and you might lose all or part of your investment. Our business, operating results, financial performance, or prospects could also be harmed by risks and uncertainties not currently known to us or that we currently do not believe are material.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anticipation of sales of our Class B common stock by the Selling Stockholder could affect the market price of our Class B common stock.</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Selling Stockholder may sell or otherwise engage in transactions with respect to their Class B common stock as described in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The sale or the anticipation of the sale by the Selling Stockholder of Class B common stock may have a negative impact on the market for and market price of our Class B common stock.</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Class B Common Stock.</w:t>
      </w:r>
    </w:p>
    <w:p>
      <w:pPr>
        <w:spacing w:after="0" w:line="8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the FINRA believes that there is a high probability that speculative low-priced securities will not be suitable for at least some customers. The FINRA requirements make it more difficult for broker-dealers to recommend that their customers buy our Class B common stock, which may have the effect of reducing the level of trading activity in our Class B common stock. As a result, fewer broker-dealers may be willing to make a market in our Class B common stock, reducing a stockholder’s ability to resell shares of our Class B common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Selling Stockholder may resell all, some or none of such shares at any time or from time to time in its discretion and at different prices. As a result, investors who purchase shares from the Selling Stockholder in this offering at different times will likely pay different prices for those shares, and thus may experience different levels of dilution and outcomes in their investment results. Investors may experience a decline in the value of the shares they purchase from the Selling Stockholder in this offering because of future sales made by us to the Selling Stockholder at prices lower than the prices such investors paid for their shares in this offering.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AND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risks and uncertainties. You should not place undue reliance on these forward-looking statements. Our actual results could differ materially from those anticipated in the forward-looking statements for many reasons, including the reasons described in our “Prospectus Summary” and “Use of Proceeds” sections in this prospectus and “Risk Factors,” “Management Discussion and Analysis of Financial Condition and Result of Operations,” and “Business” sections in our Annual Report on Form 10-K for the year ended September 30, 2025, which is incorporated by reference herein.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spacing w:after="0" w:line="12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operations and business prospects are always subject to risks and uncertainties including, among others:</w:t>
      </w:r>
    </w:p>
    <w:p>
      <w:pPr>
        <w:spacing w:after="0" w:line="94"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intellectual property and our technology;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inventory and components from China may be affected by geopolitical tensions, conflict, tariffs, trade restrictions, public health issues, and other business interruptions;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92" w:lineRule="exact"/>
        <w:rPr>
          <w:rFonts w:ascii="Times New Roman" w:cs="Times New Roman" w:eastAsia="Times New Roman" w:hAnsi="Times New Roman"/>
          <w:sz w:val="18"/>
          <w:szCs w:val="18"/>
          <w:color w:val="auto"/>
        </w:rPr>
      </w:pPr>
    </w:p>
    <w:p>
      <w:pPr>
        <w:ind w:left="1320" w:right="459" w:hanging="434"/>
        <w:spacing w:after="0" w:line="284"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and in our Annual Report on Form 10-K for the year ended September 30, 2025.</w:t>
      </w:r>
    </w:p>
    <w:p>
      <w:pPr>
        <w:spacing w:after="0" w:line="9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prospectus.</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“we,” “us,” “our,” “our company,” “the Company,” “Richtech” or similar terminology refer to Richtech Robotics Inc., including its consolidated subsidiaries.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prospectus relates to shares of Class B common stock that may be offered and sold from time to time by the Selling Stockholder. We will receive none of the proceeds from the sale of Class B common stock by the Selling Stockholder in this offering.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THE OFFERING PRICE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Selling Stockholder will offer shares of our Class B common stock at the prevailing market prices or at privately negotiated prices. The offering price of our Class B common stock does not necessarily bear any relationship to our book value, assets, past operating results, financial condition or any other established criteria of value. Our Class B common stock may not trade at the market prices in excess of the offering prices for Class B common stock in any public market, will be determined in the marketplace and may be influenced by many factors, including the depth and liquidity of the market for our Class B common stock.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MARKET PRICE OF AND DIVIDENDS ON THE REGISTRANT’S COMMON EQUITY AND RELATED STOCKHOLDER MATTERS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Price for our Common Stock</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Class B common stock is listed on the Nasdaq Capital Market under the symbol “RR.” The last reported sales price of our Class B common stock on Nasdaq on February 17, 2026, was $2.76 per share.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February 17, 2026, there were 18 holders of record of our Class B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never paid or declared any cash dividends on our Class B common stock. We may pay dividends in the future if the Company realizes good profits and the board of directors determines that dividends are advisable, taking into account the Company’s financial and development needs. However, we may instead retain any future earnings to finance the operation, development and expansion of our business, and we may not declare or pay any dividends in the foreseeable future. Any future determination to pay dividends will be at the discretion of our board of directors and will depend upon a number of factors, including our results of operations, financial condition, business prospects, contractual restrictions, restrictions imposed by applicable law and other factors our board of directors deems relevant.</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NRS 78.288, the directors of a corporation may authorize, and the corporation may make, distributions (including cash dividends) to stockholders, but no such distribution may be made if, after giving it effect:</w:t>
      </w:r>
    </w:p>
    <w:p>
      <w:pPr>
        <w:spacing w:after="0" w:line="108" w:lineRule="exact"/>
        <w:rPr>
          <w:sz w:val="20"/>
          <w:szCs w:val="20"/>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would not be able to pay its debts as they become due in the usual course of business;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total assets would be less than the sum of (x) its total liabilities plus (y) the amount that would be needed, if the corporation were to be dissolved at the time of distribution, to satisfy the preferential rights upon dissolution of stockholders whose preferential rights are superior to those receiving the distribution.</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NRS prescribes the timing of the determinations above depending on the nature and timing of payment of the distribution. For cash dividends paid within 120 days after the date of authorization, the determinations above must be made as of the date the dividend is authorized. When making their determination that a distribution is not prohibited by NRS 78.288, directors may consider:</w:t>
      </w:r>
    </w:p>
    <w:p>
      <w:pPr>
        <w:spacing w:after="0" w:line="112" w:lineRule="exact"/>
        <w:rPr>
          <w:sz w:val="20"/>
          <w:szCs w:val="20"/>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prepared on the basis of accounting practices that are reasonable in the circumstances;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valuation, including, but not limited to, unrealized appreciation and depreciation; and/or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that is reasonable in the circumstances.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prospectus covers the resale by the Selling Stockholder of up to an aggregate of 8,500,000 shares of Class B common stock issuable pursuant to the Purchase Agreement.</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Selling Stockholder may dispose of the shares covered by this prospectus from time to time at such prices as it may choose. The following table provides, as of the date of this prospectus, information regarding the beneficial ownership of our Class B common stock held by the Selling Stockholder and the percentage owned by the Selling Stockholder.</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After Sale of Shares in Offering</w:t>
            </w:r>
          </w:p>
        </w:tc>
        <w:tc>
          <w:tcPr>
            <w:tcW w:w="0" w:type="dxa"/>
            <w:vAlign w:val="bottom"/>
          </w:tcPr>
          <w:p>
            <w:pPr>
              <w:spacing w:after="0"/>
              <w:rPr>
                <w:sz w:val="1"/>
                <w:szCs w:val="1"/>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Being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 Prior to</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Sold in this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0" w:type="dxa"/>
            <w:vAlign w:val="bottom"/>
          </w:tcPr>
          <w:p>
            <w:pPr>
              <w:spacing w:after="0"/>
              <w:rPr>
                <w:sz w:val="1"/>
                <w:szCs w:val="1"/>
                <w:color w:val="auto"/>
              </w:rPr>
            </w:pP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Davidson Kempner Capital Management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120" w:type="dxa"/>
            <w:vAlign w:val="bottom"/>
            <w:gridSpan w:val="2"/>
            <w:shd w:val="clear" w:color="auto" w:fill="CCEEFF"/>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0"/>
                <w:szCs w:val="10"/>
                <w:color w:val="auto"/>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8,500,000</w:t>
            </w: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2"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8,500,000 shares of Class B common stock held by M.H. Davidson &amp; Co. and Davidson Kempner Arbitrage, Equities and Relative Value LP (the “funds”). The business address for Davidson Kempner Capital Management LP (“</w:t>
      </w:r>
      <w:r>
        <w:rPr>
          <w:rFonts w:ascii="Times New Roman" w:cs="Times New Roman" w:eastAsia="Times New Roman" w:hAnsi="Times New Roman"/>
          <w:sz w:val="16"/>
          <w:szCs w:val="16"/>
          <w:b w:val="1"/>
          <w:bCs w:val="1"/>
          <w:color w:val="auto"/>
        </w:rPr>
        <w:t>DKCM</w:t>
      </w:r>
      <w:r>
        <w:rPr>
          <w:rFonts w:ascii="Times New Roman" w:cs="Times New Roman" w:eastAsia="Times New Roman" w:hAnsi="Times New Roman"/>
          <w:sz w:val="16"/>
          <w:szCs w:val="16"/>
          <w:color w:val="auto"/>
        </w:rPr>
        <w:t>”) is 9 W. 57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 29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10019. DKCM is a Delaware limited partnership and a registered investment adviser with the SEC and is responsible for the voting and investment decisions of the funds. DKCM GP LLC, a Delaware limited liability company, is the general partner of DKCM. The partners of DKCM are Anthony A. Yoseloff, Conor Bastable, Morgan P. Blackwell, Patrick W. Dennis, Gabriel T. Schwartz, Zachary Z. Altschuler, Joshua D. Morris, Suzanne K. Gibbons, Gregory S. Feldman, Melanie Levine, James Li, Michael Chiaramonte, Sona Gohel, Jeffrey Hurwitz and Andrew Tan. Anthony A. Yoseloff, through DKCM, is responsible for the voting and investment decisions relating to the securities reported herein, and each of the foregoing, other than funds covered hereby, disclaims any beneficial ownership of such securities except to the extent of any pecuniary interest therein.</w:t>
      </w:r>
    </w:p>
    <w:p>
      <w:pPr>
        <w:ind w:left="880" w:hanging="426"/>
        <w:spacing w:after="0"/>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8,500,000 Shares issued to the Selling Stockholder pursuant to the 2026 Purchase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Selling Stockholder and its pledgees, assignees and successors-in-interest may, from time to time, sell any or all of their securities covered hereby on any trading market, stock exchange or other trading facility on which the securities are traded or in private transactions. These sales may be at fixed or negotiated prices. The Selling Stockholder may use any one or more of the following methods when selling securities:</w:t>
      </w:r>
    </w:p>
    <w:p>
      <w:pPr>
        <w:spacing w:after="0" w:line="112"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covered hereby, the Selling Stockholder may enter into hedging transactions with broker-dealers or other financial institutions, which may in turn engage in short sales of the securities in the course of hedging the positions it assumes. The Selling Stockholder may also sell securities short and deliver these securities to close out its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broker-dealer or agent that is involved in selling the securities may be deemed to be an “underwriter” within the meaning of the Securities Act in connection with such sales. In such event, any commissions received by such broker-dealer or agent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 We will pay certain fees and expenses incurred by us incident to the registration of the securities.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Because the Selling Stockholder is deemed an underwriter within the meaning of the Securities Act, the Selling Stockholder will be subject to the prospectus delivery requirements of the Securities Act, including Rule 172 thereunder. In addition, any securities covered by this prospectus which qualify for sale pursuant to Rule 144 under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Securities Act may be sold under Rule 144 rather than under this prospectus. We are requesting that the Selling Stockholder confirm that there is no underwriter or coordinating broker acting in connection with the proposed sale of the resale securities by the Selling Stockholder.</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w:t>
      </w:r>
    </w:p>
    <w:p>
      <w:pPr>
        <w:spacing w:after="0" w:line="3" w:lineRule="exact"/>
        <w:rPr>
          <w:sz w:val="20"/>
          <w:szCs w:val="20"/>
          <w:color w:val="auto"/>
        </w:rPr>
      </w:pPr>
    </w:p>
    <w:p>
      <w:pPr>
        <w:jc w:val="both"/>
        <w:ind w:left="460" w:right="479" w:hanging="6"/>
        <w:spacing w:after="0" w:line="253" w:lineRule="auto"/>
        <w:tabs>
          <w:tab w:leader="none" w:pos="7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are informing the Selling Stockholder of the need to deliver a copy of this prospectus to each purchaser at or prior to the time of the sale (including by compliance with Rule 172 under the Securities 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Market sales of shares of our Class B common stock after this offering and from time to time, and the availability of shares for future sale, may reduce the market price of our Class B common stock. Sales of substantial amounts of our Class B common stock, or the perception that these sales could occur, could adversely affect prevailing market prices for our Class B common stock and could impair our future ability to obtain capital, especially through an offering of equity securities. After the effective date of the registration statement of which this prospectus is a part, all of the shares registered in this offering will be freely tradable without restrictions or further registration under the Securities Act of 1933, unless the shares are purchased by our affiliates, as that term is defined in Rule 144 under the Securities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Class B common stock offered by us in this offering will be passed upon for us by Fennemore Craig, P.C.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audited consolidated financial statements as of September 30, 2025 and 2024, and for the two years then ended have been incorporated by reference into this prospectus and the registration statement of which it forms a part in reliance upon the report of Bush &amp; Associates CPA, independent registered public accounting firm and upon the report of such firm given upon the authority of said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B common stock offered hereby. This prospectus, which constitutes a part of the registration statement, does not contain all of the information set forth in the registration statement or the exhibits filed therewith. For further information about us and the Class B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that contains reports, proxy and information statements and other information regarding registrants that file electronically with the SEC. The address of the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 and periodic and current reporting requirements of the Exchange Act, and in accordance therewith, file periodic and current reports, proxy statements and other information with the SEC. The registration statement, such periodic and current reports and other information can be obtained electronically by means of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instead of having to repeat the information in this document.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Sections 13(a), 13(c), 14 or 15(d) of the Exchange Act (1) after the date of the initial registration statement, as amended, and prior to effectiveness of the registration statement, and (2) after the date of this prospectus and prior to the termination of this offering. Such information will automatically update and supersede the information contained in this prospectus and the documents listed below:</w:t>
      </w:r>
    </w:p>
    <w:p>
      <w:pPr>
        <w:spacing w:after="0" w:line="121" w:lineRule="exact"/>
        <w:rPr>
          <w:sz w:val="20"/>
          <w:szCs w:val="20"/>
          <w:color w:val="auto"/>
        </w:rPr>
      </w:pPr>
    </w:p>
    <w:p>
      <w:pPr>
        <w:ind w:left="1320" w:right="479" w:hanging="434"/>
        <w:spacing w:after="0" w:line="282" w:lineRule="auto"/>
        <w:tabs>
          <w:tab w:leader="none" w:pos="13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September 30, 2025 filed with the SEC on January 20, 2026;</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December 31, 2025 filed with the SEC on February 12, 2026; and</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4">
        <w:r>
          <w:rPr>
            <w:rFonts w:ascii="Times New Roman" w:cs="Times New Roman" w:eastAsia="Times New Roman" w:hAnsi="Times New Roman"/>
            <w:sz w:val="18"/>
            <w:szCs w:val="18"/>
            <w:u w:val="single" w:color="auto"/>
            <w:color w:val="0000EE"/>
          </w:rPr>
          <w:t>October 1, 2025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November 4, 2025</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November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 xml:space="preserve">December 5,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January 30, 2026</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0000EE"/>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prior to the termination of the offering shall be deemed to be incorporated by reference into the prospectus. Any statement contained herein or in a document incorporated or deemed to be incorporated herein by reference shall be deemed to be modified or superseded for purposes of this prospectus to the extent that a statement contained herein or in any other subsequently filed document which also is or is deemed to be incorporated herein by reference modifies or supersedes such statement.</w:t>
      </w:r>
    </w:p>
    <w:p>
      <w:pPr>
        <w:spacing w:after="0" w:line="120" w:lineRule="exact"/>
        <w:rPr>
          <w:rFonts w:ascii="Times New Roman" w:cs="Times New Roman" w:eastAsia="Times New Roman" w:hAnsi="Times New Roman"/>
          <w:sz w:val="18"/>
          <w:szCs w:val="18"/>
          <w:color w:val="0000EE"/>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information that we elect to furnish, but not file, or have furnished, but not filed, with the SEC in accordance with SEC rules and regulations is not incorporated into this registration statement, shall not be deemed “filed” under the Securities Act, and does not constitute a part hereof.</w:t>
      </w:r>
    </w:p>
    <w:p>
      <w:pPr>
        <w:spacing w:after="0" w:line="95" w:lineRule="exact"/>
        <w:rPr>
          <w:rFonts w:ascii="Times New Roman" w:cs="Times New Roman" w:eastAsia="Times New Roman" w:hAnsi="Times New Roman"/>
          <w:sz w:val="18"/>
          <w:szCs w:val="18"/>
          <w:color w:val="0000EE"/>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a copy of this prospectus is delivered, a copy of any or all of the information that we have incorporated by reference into this prospectus but not delivered with this prospectus. We will provide this information upon written or oral request at no cost to the requester. You may request this information by contacting our corporate headquarters at the following address: 2975 Lincoln Rd, Las Vegas, NV 89115, Attn: Zhenqiang (Michael) Huang, or by calling (866) 236-3835 or at the following email address: ir@richtechrobotics.com. We maintain a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You may access our annual reports on Form 10-K, quarterly reports on 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16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document. We have not authorized anyone to provide you with information that is different. This document may only be used where it is legal to sell these securities. The information in this document may only be accurate on the date of this document.</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Additional risks and uncertainties not presently known or that are currently deemed immaterial may also impair our business operations. The risks and uncertainties described in this document and other risks and uncertainties which we may face in the future will have a greater impact on those who purchase our Class B common stock. These purchasers will purchase our Class B common stock at the market price or at a privately negotiated price and will run the risk of losing their entire investment.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8,500,000 Shares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RICHTECH ROBOTICS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RESALE PROSPECTUS</w:t>
      </w: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608965</wp:posOffset>
            </wp:positionV>
            <wp:extent cx="514350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651510</wp:posOffset>
            </wp:positionV>
            <wp:extent cx="514350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925830</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an itemized statement of the amounts of all expenses (excluding underwriting discounts and commissions and non-accountable expense allowance) payable by us in connection with the registration of the common stock offered hereby. With the exception of the SEC registration fee, the FINRA filing fee and the Nasdaq initial listing fee, the amounts set forth below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107,173.85</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Company’s second amended and restated articles of incorporation and second amended and restated bylaws limit the directors’ liability and may indemnify directors and officers to the fullest extent permitted under the Nevada Revised Statutes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NRS 78.7502-NRS 78.751.</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Nevada law, NRS 78.138, provides that the Company’s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or with respect to payment of dividends in violation of the NRS. While Nevada law allows the articles of incorporation of a corporation to provide for greater liability of the corporation’s directors and officers, our second amended and restated articles of incorporation does not provide for greater liability of our officers and directors than is provided under Nevada law.</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permitted by Nevada law or our second amended and restated articles of incorporation, our second amended and restated bylaws (a) include provisions that eliminate the personal liability of our directors or officers for damages resulting from certain breaches of fiduciary duties as a director or officer; (b) require the Company to indemnify and hold harmless any officer or director against all expense, liability and loss (including, without limitation, attorneys’ fees, judgments, fines, taxes, penalties, and amounts paid or to be paid in settlement) reasonably incurred or suffered by the indemnitee in connection with any threatened, pending, or completed action, suit or proceeding (including, without limitation, an action, suit or proceeding by or in the right of the company), whether civil, criminal, administrative, or investigative; and (c) require us to advance expenses of the indemnitee as such expenses are incurred upon receipt of an undertaking by or on behalf of the indemnitee to repay the amount if it is ultimately determined by a court of competent jurisdiction that he or she is not entitled to be indemnified by the Company.</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effect of these provisions is to restrict our rights and the rights of our stockholders in derivative suits to recover damages against a director or officer for breach of fiduciary duties as a director or officer. In addition, the Company pays the costs of settlement and damage awards against directors and officers pursuant to these indemnification provisions.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obtained a directors’ and officers’ insurance policy pursuant to which our directors and officers are insured against liability for actions taken in their capacities as directors and officers.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past three years, we have issued and sold the securities described below without registering the securities under the Securities Act. None of these transactions involved any underwriters’ underwriting discounts or commissions,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 No underwriters were involved in these issuances of securities.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November and December 2022, we issued nine promissory notes to nine investors, in an aggregate principal amount of $1,400,000, for the provision of consulting, advisory and technical support services to our Company. The Convertible Notes each bear an interest of 16% per annum and have a maturity date of 18 months after issuance. On December 17, 2022, we amended the Convertible Notes and entered into promissory note conversion agreements with each Convertible Note holder, pursuant to which the outstanding balance of principal and accrued interest of each Convertible Note were converted into an aggregate of 9,231,000 shares of Class B common stock. On June 25, 2023, each of the holders of the Convertible Notes agreed to waive any registration rights in connection with their Conversion Shares. Pursuant to the terms of the Convertible Notes, if the Company is unable to fulfill a completion of a minimum $15,000,000 initial public offering of its securities and listing of its common stock for trading on Nasdaq or other national securities exchange no later than the Maturity Date, each holder will have an option, exercisable for a period of 90 days after the Maturity Date, to sell the Conversion Shares back to the Company at an aggregate price equal to the principal amount of each Convertible Note and all interest accrued thereon, and such sale shall occur no later than ten business days after the Company’s receipt of such notice from each holder. On October 27, 2023, seven of the original holders of the Convertible Notes and the converted shares transferred their respective shares to each of seven new investors. Each of the transferees agreed to the terms of the Waiver.</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Pre-IPO Private Placement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we entered into share purchase agreements with twelve accredited investors for the issuance of an aggregate of 166,000 shares of Class B common stock, at $5.00 per share. Each of the investors will agree to a 180 day lock-up with respect to such shares prior to the completion of this offering. The Private Placement Shares are not subject to registration rights. The number of Private Placement Shars issued to each investor is set forth below:</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2"/>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Holder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Class of Common Stock</w:t>
            </w:r>
          </w:p>
        </w:tc>
        <w:tc>
          <w:tcPr>
            <w:tcW w:w="1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Date of Issuance</w:t>
            </w:r>
          </w:p>
        </w:tc>
      </w:tr>
      <w:tr>
        <w:trPr>
          <w:trHeight w:val="47"/>
        </w:trPr>
        <w:tc>
          <w:tcPr>
            <w:tcW w:w="3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Thanh Chi Nguyen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6/8/2023</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Jenkins Family Trust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6/12/2023</w:t>
            </w: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L. Marti</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2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6/26/2023</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Meagher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6/27/2023</w:t>
            </w: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Walker and Kimberly Spight Walker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2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6/28/2023</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Zeno Family Trust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6/28/2023</w:t>
            </w: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Theresa Wilson-McCray</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2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6/28/2023</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Jae H. Lim, Jr.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7/27/2023</w:t>
            </w: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Jessica M. Alexander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2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7/28/2023</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7/30/2023</w:t>
            </w:r>
          </w:p>
        </w:tc>
      </w:tr>
      <w:tr>
        <w:trPr>
          <w:trHeight w:val="40"/>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Restaurant Foundation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7/30/2023</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Pang</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Class B common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7/30/2023</w:t>
            </w:r>
          </w:p>
        </w:tc>
      </w:tr>
    </w:tbl>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5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On February 15, 2024, we entered into a Standby Equity Purchase Agreement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with YA II PN, Ltd.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pursuant to which the Investor agreed to purchase up to $50 million of the Company’s shares of Class B common stock over the course of 24 months after the date of the SEPA. The price of shares to be issued under the SEPA will be 96% of the lowest volume weighted average price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the Company’s Class B common stock for the three trading days immediately following the delivery of each Advance notice by the Company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Pricing Period</w:t>
      </w:r>
      <w:r>
        <w:rPr>
          <w:rFonts w:ascii="Times New Roman" w:cs="Times New Roman" w:eastAsia="Times New Roman" w:hAnsi="Times New Roman"/>
          <w:sz w:val="18"/>
          <w:szCs w:val="18"/>
          <w:color w:val="auto"/>
        </w:rPr>
        <w:t>”). Each issuance and sale by the Company to the Investor under the SEPA (an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is subject to a maximum amount equal to 100% of the daily trading volume of the Company’s Class B common stock, as reported by Bloomberg L.P., during the five trading days immediately preceding an Advance notice.</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w:t>
      </w:r>
      <w:r>
        <w:rPr>
          <w:rFonts w:ascii="Times New Roman" w:cs="Times New Roman" w:eastAsia="Times New Roman" w:hAnsi="Times New Roman"/>
          <w:sz w:val="18"/>
          <w:szCs w:val="18"/>
          <w:b w:val="1"/>
          <w:bCs w:val="1"/>
          <w:color w:val="auto"/>
        </w:rPr>
        <w:t>MAP</w:t>
      </w:r>
      <w:r>
        <w:rPr>
          <w:rFonts w:ascii="Times New Roman" w:cs="Times New Roman" w:eastAsia="Times New Roman" w:hAnsi="Times New Roman"/>
          <w:sz w:val="18"/>
          <w:szCs w:val="18"/>
          <w:color w:val="auto"/>
        </w:rPr>
        <w:t>”)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w:t>
      </w:r>
    </w:p>
    <w:p>
      <w:pPr>
        <w:spacing w:after="0" w:line="3" w:lineRule="exact"/>
        <w:rPr>
          <w:sz w:val="20"/>
          <w:szCs w:val="20"/>
          <w:color w:val="auto"/>
        </w:rPr>
      </w:pPr>
    </w:p>
    <w:p>
      <w:pPr>
        <w:jc w:val="both"/>
        <w:ind w:left="460" w:right="459" w:hanging="6"/>
        <w:spacing w:after="0" w:line="255" w:lineRule="auto"/>
        <w:tabs>
          <w:tab w:leader="none" w:pos="7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VWAP available (each such day, an “</w:t>
      </w:r>
      <w:r>
        <w:rPr>
          <w:rFonts w:ascii="Times New Roman" w:cs="Times New Roman" w:eastAsia="Times New Roman" w:hAnsi="Times New Roman"/>
          <w:sz w:val="18"/>
          <w:szCs w:val="18"/>
          <w:b w:val="1"/>
          <w:bCs w:val="1"/>
          <w:color w:val="auto"/>
        </w:rPr>
        <w:t>Excluded Day</w:t>
      </w:r>
      <w:r>
        <w:rPr>
          <w:rFonts w:ascii="Times New Roman" w:cs="Times New Roman" w:eastAsia="Times New Roman" w:hAnsi="Times New Roman"/>
          <w:sz w:val="18"/>
          <w:szCs w:val="18"/>
          <w:color w:val="auto"/>
        </w:rPr>
        <w:t>”). On each Excluded Day, an automatic one-third reduction is applied to the specified Advance amount in the Advance notice and that day will be excluded from the Pricing Period.</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of number of shares of Class B common stock at the time of an Advance or acquiring more than 19.99% of the Company’s outstanding shares of Class B common stock as of the date of the SEPA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The Exchange Cap will not apply under certain circumstances, including, where the Company has obtained stockholder approval to issue in excess of the Exchange Cap in accordance with the rules of Nasdaq or such issuances do not require stockholder approval under Nasdaq’s “minimum price rule.”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SEPA will terminate automatically on the earlier of February 16, 2025 or when the Investor has purchased an aggregate of $50 million of the Company’s shares of Class B common stock. The Company has the right to terminate the SEPA upon five trading days’ prior written notice to the Investor, subject to certain conditions.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shares of Class B common stock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SEPA and the Registration Rights Agreement and the transactions contemplated thereby are qualified in their entirety by reference to the full text of the SEPA and the Registration Rights Agreement, copies of which are attached hereto as Exhibits 10.0 and 4.11, respectively, each of which is incorporated herein in its entirety by reference.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Inducement Warrants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February 10, 2025, the Company entered into a warrant exercise inducement offer letter (the “</w:t>
      </w:r>
      <w:r>
        <w:rPr>
          <w:rFonts w:ascii="Times New Roman" w:cs="Times New Roman" w:eastAsia="Times New Roman" w:hAnsi="Times New Roman"/>
          <w:sz w:val="18"/>
          <w:szCs w:val="18"/>
          <w:b w:val="1"/>
          <w:bCs w:val="1"/>
          <w:color w:val="auto"/>
        </w:rPr>
        <w:t>Inducement Letter</w:t>
      </w:r>
      <w:r>
        <w:rPr>
          <w:rFonts w:ascii="Times New Roman" w:cs="Times New Roman" w:eastAsia="Times New Roman" w:hAnsi="Times New Roman"/>
          <w:sz w:val="18"/>
          <w:szCs w:val="18"/>
          <w:color w:val="auto"/>
        </w:rPr>
        <w:t>”) with a holder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of its existing common stock warrants exercisable for an aggregate of 2,699,797 shares of its Class B common stock (collectively, the “</w:t>
      </w:r>
      <w:r>
        <w:rPr>
          <w:rFonts w:ascii="Times New Roman" w:cs="Times New Roman" w:eastAsia="Times New Roman" w:hAnsi="Times New Roman"/>
          <w:sz w:val="18"/>
          <w:szCs w:val="18"/>
          <w:b w:val="1"/>
          <w:bCs w:val="1"/>
          <w:color w:val="auto"/>
        </w:rPr>
        <w:t>Existing Warrants</w:t>
      </w:r>
      <w:r>
        <w:rPr>
          <w:rFonts w:ascii="Times New Roman" w:cs="Times New Roman" w:eastAsia="Times New Roman" w:hAnsi="Times New Roman"/>
          <w:sz w:val="18"/>
          <w:szCs w:val="18"/>
          <w:color w:val="auto"/>
        </w:rPr>
        <w:t>”), to exercise its Existing Warrants at the existing exercise price of $1.35 per share, in exchange for the Company’s agreement to issue new common stock warrants to purchase 2,699,797 shares of Class B common stock at an exercise price per share of $4.00 (the “</w:t>
      </w:r>
      <w:r>
        <w:rPr>
          <w:rFonts w:ascii="Times New Roman" w:cs="Times New Roman" w:eastAsia="Times New Roman" w:hAnsi="Times New Roman"/>
          <w:sz w:val="18"/>
          <w:szCs w:val="18"/>
          <w:b w:val="1"/>
          <w:bCs w:val="1"/>
          <w:color w:val="auto"/>
        </w:rPr>
        <w:t>Inducement Warrants</w:t>
      </w:r>
      <w:r>
        <w:rPr>
          <w:rFonts w:ascii="Times New Roman" w:cs="Times New Roman" w:eastAsia="Times New Roman" w:hAnsi="Times New Roman"/>
          <w:sz w:val="18"/>
          <w:szCs w:val="18"/>
          <w:color w:val="auto"/>
        </w:rPr>
        <w:t>”). The aggregate gross proceeds from the exercise of the Existing Warrants were approximately $3,644,726, before deducting financial advisory fees. In consideration for the immediate exercise of the Existing Warrants for cash, the Holder received the Inducement Warrants in a private placement. The Inducement Warrants have an exercise price of $4.00 per share, are immediately exercisable and will be exercisable for five years from the date of issuance.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2026 Private Placement</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27, 2026, the Company entered into the 2026 Purchase Agreement with the Selling Stockholder. Pursuant to the 2026 Purchase Agreement, the Company agreed to issue and sell to the Selling Stockholder, and the Selling Stockholder agreed to purchase from the Company, in the 2026 Private Placement, 8,500,000 Shares, at a purchase price of $4.55 per Share, for aggregate gross proceeds of $38,675,000, prior to deducting placement agent’s fees and other offering expenses payable by the Company. The 2026 Private Placement closed on January 29, 2026.</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Pursuant to the 2026 Purchase Agreement, for a period commencing upon the signing of the 2026 Purchase Agreement, until 45 days after the effective date of the registration statemen, of which this prospectus forms part, neither the Company nor any of its subsidiaries shall (i) issue, enter into any agreement to issue or announce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issuance or proposed issuance of any Class B common stock or Class B common stock equivalents, or (ii) file any registration statement or any amendment or supplement thereto. The restrictions are subject to certain exceptions as described in the 2026 Purchase Agreement. Further, for a period of 15 months following the effective date of the Resale Registration Statement, the Company is also prohibited from effecting or entering into an agreement to effect any issuance by the Company or any of its subsidiaries of Class B common stock or Class B common stock equivalents (or a combination of units thereof) involving a Variable Rate Transaction, as defined in the 2026 Purchase Agreement. The 2026 Purchase Agreement also contains customary representations and warranties and agreements and obligations, conditions to closing and termination provisions.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Purchase Agreement, on January 27, 2026, the Company also entered into the Registration Rights Agreement with the investor. Pursuant to the Registration Rights Agreement, the Company will be required to file the Resale Registration Statement with the SEC to register the Shares for resale. The Company agreed to file the Resale Registration Statement by February 16, 2026, and to have such Resale Registration Statement declared effective within 45 days after January 27, 2026, or 75 days after January 27, 2026, in the event of a “full review” by the SEC. The Company will be obligated to pay liquidated damages to the investors if the Company fails to file the Resale Registration Statement when required or fails to cause the Resale Registration Statement to be declared effective by the SEC when required.</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net proceeds to the Company from the 2026 Private Placement were approximately $36.2 million, after deducting placement agent fees and estimated offering expenses payable by the Company. The Company intends to use the net proceeds for working capital, general corporate purposes, including the further development of our product candidates, and the procurement of inventory, specifically for robotic hardware.</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Rodman acted as the Company’s exclusive placement agent in connection with the 2026 Private Placement. Pursuant to an engagement letter by and between the Company and Rodman, the Company paid Rodman an aggregate cash fee equal to 6.0% of the gross proceeds of the 2026 Private Placement and agreed to reimburse the Rodman for all reasonable out-of-pocket and non-accountable expenses of up to $100,000 in aggregate.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60" w:type="dxa"/>
            <w:vAlign w:val="bottom"/>
            <w:gridSpan w:val="8"/>
          </w:tcPr>
          <w:p>
            <w:pPr>
              <w:ind w:left="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6"/>
        </w:trPr>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8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4"/>
                <w:szCs w:val="14"/>
                <w:color w:val="auto"/>
              </w:rPr>
            </w:pPr>
          </w:p>
        </w:tc>
        <w:tc>
          <w:tcPr>
            <w:tcW w:w="7180" w:type="dxa"/>
            <w:vAlign w:val="bottom"/>
            <w:tcBorders>
              <w:bottom w:val="single" w:sz="8" w:color="0000EE"/>
            </w:tcBorders>
            <w:gridSpan w:val="12"/>
            <w:shd w:val="clear" w:color="auto" w:fill="CCEEFF"/>
          </w:tcPr>
          <w:p>
            <w:pPr>
              <w:spacing w:after="0" w:line="169"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Second Amended and Restated Articles of Incorporation (Incorporated by reference to Exhibit 3.1</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in the Company’s Current Report on Form 8-K, filed with the SEC on November 22, 2023).</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Articles of Amendment to Articles of Incorporation of Richtech Robotics Inc. (Incorporated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by reference to Exhibit 3.1 of the Company’s Current Report on Form 8-K, filed with the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Commission on November 17, 2025).</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Second Amended and Restated Bylaws (Incorporated by reference to Exhibit 3.3 in the Company’s</w:t>
              </w:r>
            </w:hyperlink>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Annual Report on Form 10-K for the year ended September 30, 2023, filed with the SEC on</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January 11, 2024).</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Specimen Class B Common Stock Certificate (Incorporated by reference to Exhibit 4.1 in the</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Company’s Registration Statement on Form S-1/A (File No. 333-273628), filed with the SEC on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November 1, 2023).</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Underwriter Warrant (Incorporated by reference to Exhibit 4.1 in the Company’s Current</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Report on Form 8-K, filed with the SEC on November 22, 2023).</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718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Pre-Funded Warrant (Incorporated by reference to Exhibit 4.1 in the Company’s Current</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Report on Form 8-K, filed with the SEC on September 5, 2024).</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Common Warrant (Incorporated by reference to Exhibit 4.2 in the Company’s Current</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Report on Form 8-K, filed with the SEC on September 5,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Placement Agent Warrant (Incorporated by reference to Exhibit 4.3 in the Company’s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Current Report on Form 8-K, filed with the SEC on September 5, 2024).</w:t>
              </w:r>
            </w:hyperlink>
          </w:p>
        </w:tc>
        <w:tc>
          <w:tcPr>
            <w:tcW w:w="20" w:type="dxa"/>
            <w:vAlign w:val="bottom"/>
          </w:tcPr>
          <w:p>
            <w:pPr>
              <w:spacing w:after="0"/>
              <w:rPr>
                <w:sz w:val="17"/>
                <w:szCs w:val="17"/>
                <w:color w:val="auto"/>
              </w:rPr>
            </w:pPr>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Inducement Warrant (Incorporated by reference to Exhibit 4.1 in the Company’s Current</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Report on Form 8-K, filed with the SEC on February 11,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71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Opinion of Fennemore Craig, P.C.</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Letter of Intent, dated as of October 16, 2024, by and between Richtech Robotics Inc. and Ghost</w:t>
              </w:r>
            </w:hyperlink>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00" w:type="dxa"/>
            <w:vAlign w:val="bottom"/>
            <w:gridSpan w:val="6"/>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Kitchens America (Incorporated by reference to Exhibit 10.1 in the Company’s Current Report on</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8-K, filed with the SEC on October 22,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gridSpan w:val="9"/>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7"/>
        </w:trPr>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169"/>
        </w:trPr>
        <w:tc>
          <w:tcPr>
            <w:tcW w:w="8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4"/>
                <w:szCs w:val="14"/>
                <w:color w:val="auto"/>
              </w:rPr>
            </w:pPr>
          </w:p>
        </w:tc>
        <w:tc>
          <w:tcPr>
            <w:tcW w:w="7180" w:type="dxa"/>
            <w:vAlign w:val="bottom"/>
            <w:tcBorders>
              <w:bottom w:val="single" w:sz="8" w:color="0000EE"/>
              <w:right w:val="single" w:sz="8" w:color="CCEEFF"/>
            </w:tcBorders>
            <w:gridSpan w:val="16"/>
            <w:shd w:val="clear" w:color="auto" w:fill="CCEEFF"/>
          </w:tcPr>
          <w:p>
            <w:pPr>
              <w:spacing w:after="0" w:line="169"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Invention Assignment Agreement (Incorporated by reference to Exhibit 10.4 in the</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Company’s Registration Statement on Form S-1/A (File No. 333-273628), filed with the SEC on</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November 1, 2023).</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Stock Purchase Agreement (Pre-IPO Private Placement) (Incorporated by reference to</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Exhibit 10.5 in the Company’s Registration Statement on Form S-1/A (File No. 333-273628), filed</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with the SEC on November 1, 2023).</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Second Amended and Restated Richtech Robotics, Inc. 2023 Stock Option Plan (Incorporated</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herein by reference to Exhibit 10.1 of the Company’s Current Report on Form 8-K, filed with the</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Commission on November 17, 2025).</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Stock Option Agreement (Incorporated by reference to Exhibit 10.7 in the Company’s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Registration Statement on Form S-1/A (File No. 333-273628), filed with the SEC on November 1,</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2023).</w:t>
              </w:r>
            </w:hyperlink>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Stock Purchase Agreement (Incorporated by reference to Exhibit 10.8 in the Company’s</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Registration Statement on Form S-1/A (File No. 333-273628), filed with the SEC on November 1,</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2023).</w:t>
              </w:r>
            </w:hyperlink>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Employment Agreement between the Company and Zhenwu Huang (Incorporated by reference to</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Exhibit 10.9 in the Company’s Registration Statement on Form S-1/A (File No. 333-273628), filed</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with the SEC on November 1, 2023).</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Employment Agreement between the Company and Zhenqiang Huang (Incorporated by reference</w:t>
              </w:r>
            </w:hyperlink>
          </w:p>
        </w:tc>
      </w:tr>
      <w:tr>
        <w:trPr>
          <w:trHeight w:val="20"/>
        </w:trPr>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to Exhibit 10.10 in the Company’s Registration Statement on Form S-1/A (File No. 333-273628),</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filed with the SEC on November 1, 2023).</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Employment Agreement between the Company and Phil Zheng (Incorporated by reference to</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Exhibit 10.11 in the Company’s Registration Statement on Form S-1/A (File No. 333-273628),</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filed with the SEC on November 1, 2023).</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Standby Equity Purchase Agreement, dated February 15, 2024, by and between the Company and</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YA II PN, Ltd. (Incorporated by reference to Exhibit 10.1 in the Company’s Current Report on</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8-K, filed with the SEC on February 21, 2024).</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Letter Agreement, dated March 14, 2024, by and between the Company and YA II PN, Ltd.</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by reference to Exhibit 10.1 in the Company’s Current Report on Form 8-K, filed</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with the SEC on March 15, 2024).</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Securities Purchase Agreement (Incorporated by reference to Exhibit 10.1 in the</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Company’s Current Report on Form 8-K, filed with the SEC on September 5, 2024).</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Inducement Letter (Incorporated by reference to Exhibit 10.1 in the Company’s Current</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Form 8-K, filed with the SEC on February 11, 2025).</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Purchase and Sale Agreement, dated April 8, 2025, by and between the Company and L &amp; R</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Investment LLC (Incorporated by reference to Exhibit 10.1 in the Company’s Current Report on</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8-K, filed with the SEC on April 14, 2025).</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Product Sales and Technical Services Agreement, dated as of June 24, 2025, by and between Boyu</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Artificial Intelligence (Beijing) Technology Co., Ltd. and Beijing Kaiwu Tongchuang Technology</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Development Co., Ltd (Incorporated by reference to Exhibit 10.1 in the Company’s Current Report</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on Form 8-K, filed with the SEC on June 30, 2025).</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Master Services Agreement, dated August 21, 2025 (Incorporated by reference to Exhibit 10.1 in</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the Company’s Current Report on Form 8-K, filed with the SEC on August 25, 2025).</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At the Market Offering Agreement, dated August 28, 2025, by and among the Company and</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Rodman &amp; Renshaw LLC and H.C. Wainwright &amp; Co., LLC (Incorporated by reference to Exhibit</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in the Company’s Current Report on Form 8-K, filed with the SEC on August 28, 2025).</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At the Market Offering Agreement, dated September 23, 2025, by and among the Company,</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Rodman &amp; Renshaw LLC and H.C. Wainwright &amp; Co., LLC (Incorporated by reference to Exhibit</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in the Company’s Registration Statement on Form S-3ASR, filed with the SEC on</w:t>
              </w:r>
            </w:hyperlink>
          </w:p>
        </w:tc>
      </w:tr>
      <w:tr>
        <w:trPr>
          <w:trHeight w:val="196"/>
        </w:trPr>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8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September 24, 2025).</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5"/>
                <w:szCs w:val="15"/>
                <w:color w:val="auto"/>
              </w:rPr>
            </w:pPr>
          </w:p>
        </w:tc>
        <w:tc>
          <w:tcPr>
            <w:tcW w:w="718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Securities Purchase Agreement (Incorporated by reference to Exhibit 10.1 in the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Company’s Current Report on Form 8-K, filed with the SEC on January 30, 2026).</w:t>
              </w:r>
            </w:hyperlink>
          </w:p>
        </w:tc>
      </w:tr>
      <w:tr>
        <w:trPr>
          <w:trHeight w:val="61"/>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Registration Rights Agreement (Incorporated by reference to Exhibit 10.2 in the</w:t>
              </w:r>
            </w:hyperlink>
          </w:p>
        </w:tc>
      </w:tr>
      <w:tr>
        <w:trPr>
          <w:trHeight w:val="196"/>
        </w:trPr>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Company’s Current Report on Form 8-K, filed with the SEC on January 30, 2026).</w:t>
              </w:r>
            </w:hyperlink>
          </w:p>
        </w:tc>
      </w:tr>
      <w:tr>
        <w:trPr>
          <w:trHeight w:val="61"/>
        </w:trPr>
        <w:tc>
          <w:tcPr>
            <w:tcW w:w="8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right w:val="single" w:sz="8" w:color="CCEEFF"/>
            </w:tcBorders>
            <w:shd w:val="clear" w:color="auto" w:fill="CCEEFF"/>
          </w:tcPr>
          <w:p>
            <w:pPr>
              <w:spacing w:after="0"/>
              <w:rPr>
                <w:sz w:val="5"/>
                <w:szCs w:val="5"/>
                <w:color w:val="auto"/>
              </w:rPr>
            </w:pPr>
          </w:p>
        </w:tc>
      </w:tr>
    </w:tbl>
    <w:p>
      <w:pPr>
        <w:ind w:left="1380" w:right="479" w:hanging="926"/>
        <w:spacing w:after="0" w:line="260" w:lineRule="auto"/>
        <w:tabs>
          <w:tab w:leader="none" w:pos="1380" w:val="left"/>
        </w:tabs>
        <w:numPr>
          <w:ilvl w:val="0"/>
          <w:numId w:val="25"/>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Subsidiaries of the Company (Incorporated by reference to Exhibit 21 in the Company’s Annual</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Report on Form 10-K, filed with the SEC on January 20, 2026).</w:t>
        </w:r>
      </w:hyperlink>
    </w:p>
    <w:p>
      <w:pPr>
        <w:spacing w:after="0" w:line="18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20" w:type="dxa"/>
            <w:vAlign w:val="bottom"/>
          </w:tcPr>
          <w:p>
            <w:pPr>
              <w:spacing w:after="0"/>
              <w:rPr>
                <w:sz w:val="17"/>
                <w:szCs w:val="17"/>
                <w:color w:val="auto"/>
              </w:rPr>
            </w:pPr>
          </w:p>
        </w:tc>
        <w:tc>
          <w:tcPr>
            <w:tcW w:w="5960" w:type="dxa"/>
            <w:vAlign w:val="bottom"/>
            <w:gridSpan w:val="4"/>
          </w:tcPr>
          <w:p>
            <w:pPr>
              <w:ind w:left="19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2"/>
        </w:trPr>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
        </w:trPr>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69"/>
        </w:trPr>
        <w:tc>
          <w:tcPr>
            <w:tcW w:w="8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4"/>
                <w:szCs w:val="14"/>
                <w:color w:val="auto"/>
              </w:rPr>
            </w:pPr>
          </w:p>
        </w:tc>
        <w:tc>
          <w:tcPr>
            <w:tcW w:w="718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Consent of Bush &amp; Associates CPA, Independent Registered Public Accounting Firm</w:t>
            </w:r>
          </w:p>
        </w:tc>
      </w:tr>
      <w:tr>
        <w:trPr>
          <w:trHeight w:val="75"/>
        </w:trPr>
        <w:tc>
          <w:tcPr>
            <w:tcW w:w="8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0000EE"/>
            </w:tcBorders>
            <w:shd w:val="clear" w:color="auto" w:fill="CCEEFF"/>
          </w:tcPr>
          <w:p>
            <w:pPr>
              <w:spacing w:after="0"/>
              <w:rPr>
                <w:sz w:val="6"/>
                <w:szCs w:val="6"/>
                <w:color w:val="auto"/>
              </w:rPr>
            </w:pPr>
          </w:p>
        </w:tc>
        <w:tc>
          <w:tcPr>
            <w:tcW w:w="412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Fennemore Craig, P.C. (included as part of Exhibit 5.1 hereto).</w:t>
            </w:r>
          </w:p>
        </w:tc>
      </w:tr>
      <w:tr>
        <w:trPr>
          <w:trHeight w:val="88"/>
        </w:trPr>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top w:val="single" w:sz="8" w:color="0000EE"/>
            </w:tcBorders>
          </w:tcPr>
          <w:p>
            <w:pPr>
              <w:spacing w:after="0"/>
              <w:rPr>
                <w:sz w:val="7"/>
                <w:szCs w:val="7"/>
                <w:color w:val="auto"/>
              </w:rPr>
            </w:pPr>
          </w:p>
        </w:tc>
        <w:tc>
          <w:tcPr>
            <w:tcW w:w="4120" w:type="dxa"/>
            <w:vAlign w:val="bottom"/>
            <w:tcBorders>
              <w:top w:val="single" w:sz="8" w:color="0000EE"/>
            </w:tcBorders>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176"/>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5"/>
                <w:szCs w:val="15"/>
                <w:color w:val="auto"/>
              </w:rPr>
            </w:pPr>
          </w:p>
        </w:tc>
        <w:tc>
          <w:tcPr>
            <w:tcW w:w="7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r>
      <w:tr>
        <w:trPr>
          <w:trHeight w:val="88"/>
        </w:trPr>
        <w:tc>
          <w:tcPr>
            <w:tcW w:w="8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0000EE"/>
            </w:tcBorders>
            <w:shd w:val="clear" w:color="auto" w:fill="CCEEFF"/>
          </w:tcPr>
          <w:p>
            <w:pPr>
              <w:spacing w:after="0"/>
              <w:rPr>
                <w:sz w:val="7"/>
                <w:szCs w:val="7"/>
                <w:color w:val="auto"/>
              </w:rPr>
            </w:pPr>
          </w:p>
        </w:tc>
        <w:tc>
          <w:tcPr>
            <w:tcW w:w="4120" w:type="dxa"/>
            <w:vAlign w:val="bottom"/>
            <w:tcBorders>
              <w:top w:val="single" w:sz="8" w:color="0000EE"/>
            </w:tcBorders>
            <w:shd w:val="clear" w:color="auto" w:fill="CCEEFF"/>
          </w:tcPr>
          <w:p>
            <w:pPr>
              <w:spacing w:after="0"/>
              <w:rPr>
                <w:sz w:val="7"/>
                <w:szCs w:val="7"/>
                <w:color w:val="auto"/>
              </w:rPr>
            </w:pPr>
          </w:p>
        </w:tc>
        <w:tc>
          <w:tcPr>
            <w:tcW w:w="58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12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5960" w:type="dxa"/>
            <w:vAlign w:val="bottom"/>
            <w:gridSpan w:val="4"/>
          </w:tcPr>
          <w:p>
            <w:pPr>
              <w:spacing w:after="0"/>
              <w:rPr>
                <w:sz w:val="15"/>
                <w:szCs w:val="15"/>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management compensation plan or contract.</w:t>
      </w:r>
    </w:p>
    <w:p>
      <w:pPr>
        <w:spacing w:after="0" w:line="19" w:lineRule="exact"/>
        <w:rPr>
          <w:sz w:val="20"/>
          <w:szCs w:val="20"/>
          <w:color w:val="auto"/>
        </w:rPr>
      </w:pPr>
    </w:p>
    <w:p>
      <w:pPr>
        <w:ind w:left="880" w:right="479" w:hanging="426"/>
        <w:spacing w:after="0" w:line="288" w:lineRule="auto"/>
        <w:tabs>
          <w:tab w:leader="none" w:pos="85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because the omitted information is (i) not material and (ii) would likely cause competitive harm to the Company if publicly disclosed.</w:t>
      </w:r>
    </w:p>
    <w:p>
      <w:pPr>
        <w:spacing w:after="0" w:line="86" w:lineRule="exact"/>
        <w:rPr>
          <w:rFonts w:ascii="Times New Roman" w:cs="Times New Roman" w:eastAsia="Times New Roman" w:hAnsi="Times New Roman"/>
          <w:sz w:val="16"/>
          <w:szCs w:val="16"/>
          <w:color w:val="auto"/>
        </w:rPr>
      </w:pPr>
    </w:p>
    <w:p>
      <w:pPr>
        <w:jc w:val="both"/>
        <w:ind w:left="1320" w:right="459" w:hanging="434"/>
        <w:spacing w:after="0" w:line="266" w:lineRule="auto"/>
        <w:tabs>
          <w:tab w:leader="none" w:pos="127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are omitted because the required information is not applicable, not required or included in the financial statements or the Convertible Notes thereto included in the prospectus that forms a part of this registration statement.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320" w:right="459" w:hanging="434"/>
        <w:spacing w:after="0" w:line="282" w:lineRule="auto"/>
        <w:tabs>
          <w:tab w:leader="none" w:pos="12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70" w:lineRule="auto"/>
        <w:tabs>
          <w:tab w:leader="none" w:pos="1723"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09" w:lineRule="exact"/>
        <w:rPr>
          <w:rFonts w:ascii="Times New Roman" w:cs="Times New Roman" w:eastAsia="Times New Roman" w:hAnsi="Times New Roman"/>
          <w:sz w:val="17"/>
          <w:szCs w:val="17"/>
          <w:color w:val="auto"/>
        </w:rPr>
      </w:pPr>
    </w:p>
    <w:p>
      <w:pPr>
        <w:jc w:val="both"/>
        <w:ind w:left="1760" w:right="479" w:hanging="442"/>
        <w:spacing w:after="0" w:line="266" w:lineRule="auto"/>
        <w:tabs>
          <w:tab w:leader="none" w:pos="17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3" w:lineRule="exact"/>
        <w:rPr>
          <w:sz w:val="20"/>
          <w:szCs w:val="20"/>
          <w:color w:val="auto"/>
        </w:rPr>
      </w:pPr>
    </w:p>
    <w:p>
      <w:pPr>
        <w:jc w:val="both"/>
        <w:ind w:left="880" w:right="459"/>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undertakings set forth in paragraphs (a)(1)(i), (a)(1)(ii) and (a)(1)(iii) above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apply if the information required to be included in a post-effective amendment by those paragraphs is contained in reports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17" w:lineRule="exact"/>
        <w:rPr>
          <w:sz w:val="20"/>
          <w:szCs w:val="20"/>
          <w:color w:val="auto"/>
        </w:rPr>
      </w:pPr>
    </w:p>
    <w:p>
      <w:pPr>
        <w:jc w:val="both"/>
        <w:ind w:left="1320" w:right="459" w:hanging="434"/>
        <w:spacing w:after="0" w:line="261" w:lineRule="auto"/>
        <w:tabs>
          <w:tab w:leader="none" w:pos="12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sz w:val="20"/>
          <w:szCs w:val="20"/>
          <w:color w:val="auto"/>
        </w:rPr>
      </w:pPr>
    </w:p>
    <w:p>
      <w:pPr>
        <w:ind w:left="1320" w:right="479" w:hanging="434"/>
        <w:spacing w:after="0" w:line="282" w:lineRule="auto"/>
        <w:tabs>
          <w:tab w:leader="none" w:pos="1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9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2" w:lineRule="exact"/>
        <w:rPr>
          <w:sz w:val="20"/>
          <w:szCs w:val="20"/>
          <w:color w:val="auto"/>
        </w:rPr>
      </w:pPr>
    </w:p>
    <w:p>
      <w:pPr>
        <w:ind w:left="1760" w:right="459" w:hanging="442"/>
        <w:spacing w:after="0" w:line="282" w:lineRule="auto"/>
        <w:tabs>
          <w:tab w:leader="none" w:pos="172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3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the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February, 2026.</w:t>
      </w:r>
    </w:p>
    <w:p>
      <w:pPr>
        <w:spacing w:after="0" w:line="11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1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51435</wp:posOffset>
            </wp:positionV>
            <wp:extent cx="18256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Zhenwu Huang</w:t>
      </w:r>
    </w:p>
    <w:p>
      <w:pPr>
        <w:spacing w:after="0" w:line="7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Zhenqiang Huang and Phil Zheng and each of them acting singly, his true and lawful attorney-in-fact and agent with full power of substitution, for him and in his name, place, and stead, in any and all capacities, to sign (1) any and all amendments (including post-effective amendments) to this Registration Statement, and (2) any registration statement or post-effective amendment thereto to be filed with the Securities and Exchange Commission pursuant to Rule 462(b) under the Securities Act, and to file the same, with all exhibits thereto and all documents in connection therewith, with the Securities and Exchange Commission or any other regulatory authority, granting unto each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2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54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Zhenwu Huang</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Zhenqiang Huang</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3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Zhenqiang Huang</w:t>
            </w:r>
          </w:p>
        </w:tc>
        <w:tc>
          <w:tcPr>
            <w:tcW w:w="3640" w:type="dxa"/>
            <w:vAlign w:val="bottom"/>
            <w:gridSpan w:val="3"/>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John Shigley</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Stephen Markscheid</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 Saul Factor</w:t>
            </w:r>
          </w:p>
        </w:tc>
        <w:tc>
          <w:tcPr>
            <w:tcW w:w="3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Saul Factor</w:t>
            </w: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II-8</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9275 W. Russell Road, Suite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889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316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1071245" cy="316865"/>
                    </a:xfrm>
                    <a:prstGeom prst="rect">
                      <a:avLst/>
                    </a:prstGeom>
                    <a:noFill/>
                  </pic:spPr>
                </pic:pic>
              </a:graphicData>
            </a:graphic>
          </wp:anchor>
        </w:drawing>
      </w:r>
    </w:p>
    <w:p>
      <w:pPr>
        <w:spacing w:after="0" w:line="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Las Vegas, Nevada 89148</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PH (702) 692-8000 | FX (702) 692-8099</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fennemorelaw.com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2975 Lincoln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89115</w:t>
      </w:r>
    </w:p>
    <w:p>
      <w:pPr>
        <w:spacing w:after="0" w:line="20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Richtech Robotics Inc./Registration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Nevada counsel to Richtech Robotics Inc., a Nevada corporation (the “Company”), in connection with the registration by the Company of 8,500,000 shares (the “Shares”) of its Class B common stock, $0.0001 par value per share, on a registration statement on Form S-1 (the “Registration Statement”), as filed with the Securities and Exchange Commission (the “Commission”) in accordance with the Securities Act of 1933, as amended (the “Securities Act”). The Shares were issued pursuant to a share purchase agreement (the “2026 Purchase Agreement”) among the Company and the selling stockholder (the “Selling Stockholder”) as identified in the Registration Statement. Terms not otherwise defined herein have the meaning as ascribed to such terms in the Registration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00" w:hanging="244"/>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Purchase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Articles of Incorporation of the Company as filed with the Secretary of State of Nevada on November 17, 2023, as amended by the Certificate of Amendment as filed with the Secretary of State of Nevada on November 11, 2025 (collectively, the “Articles of Incorporation”);</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Bylaws of the Company, adopted effective January 8, 2024 (the “Bylaws”);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 meeting of the Board of Directors of the Company held January 27, 2026 related to the approval of the 2026 Purchase Agreement and such other matters as relevant.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from officers of the Company, and have relied upon, such certificates, representations, and assurances as we have deemed necessary and appropriate for purposes of rendering this opinion letter. We have also examined such other corporate charter documents, records, certificates, and instruments (collectively with the documents identified in (a) through (e) above, the “Documents”) as we deem necessary or advisable to render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and competency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 copies or forms;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of the Documents;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all parties of the Documents;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are valid, binding, and enforceable against the parties thereto.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relied upon the accuracy and completeness of the information, factual matters, representations, and warranties contained in such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limitations, and qualifications set forth herein, we are of the opinion that Shares issued to the Selling Stockholder were duly authorized and that upon issuance were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Richtech Robotics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Registration Statement and the Prospectus Supplement.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FENNEMORE CRAIG,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tmor/cdol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156845</wp:posOffset>
            </wp:positionV>
            <wp:extent cx="4157345" cy="668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41573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S-1 of Richtech Robotics Inc. (the “Company”) of our report dated January 20, 2026, relating to the consolidated financial statements of the Company, which appear in this Registration Statement on Form S-1.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Bush &amp; Associates CPA LLC (PCAOB 6797)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9555 S. Eastern Avenue, Suite 280 Las Vegas, NV 89014 ● 702.703.5979 ● www.bushandassociatescpas.com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RICHTECH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8,500,000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2.98</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$ 25,330,000.00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$ 3,498.07</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$ 25,330,000.00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3,498.07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$ 3,498.07</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right="20" w:hanging="292"/>
        <w:spacing w:after="0" w:line="282"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61"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Class B common stock (“Class B Common Stock”) of Richtech Robotics Inc. (the “Company”) issued to the selling stockholder pursuant to a securities purchase agreement (the “Purchase Agreement”), dated as of January 27, 2026, in a private placement.</w:t>
      </w:r>
    </w:p>
    <w:p>
      <w:pPr>
        <w:spacing w:after="0" w:line="161"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on the average of the high and low prices of the Class B Common Stock on The Nasdaq Stock Market LLC on February 12, 2026 ($2.98 per share), in accordance with Rule 457(c) of the Securities Act.</w:t>
      </w:r>
    </w:p>
    <w:p>
      <w:pPr>
        <w:spacing w:after="0" w:line="161"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 of the Securities Act by multiplying the proposed maximum aggregate offering price of securities to be registered by 0.00013810.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Roman"/>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lowerRoman"/>
      <w:start w:val="2"/>
    </w:lvl>
  </w:abstractNum>
  <w:abstractNum w:abstractNumId="24">
    <w:nsid w:val="1E7FF521"/>
    <w:multiLevelType w:val="hybridMultilevel"/>
    <w:lvl w:ilvl="0">
      <w:lvlJc w:val="left"/>
      <w:lvlText w:val="%1"/>
      <w:numFmt w:val="decimal"/>
      <w:start w:val="2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lvl w:ilvl="1">
      <w:lvlJc w:val="left"/>
      <w:lvlText w:val="(%2)"/>
      <w:numFmt w:val="lowerLetter"/>
      <w:start w:val="2"/>
    </w:lvl>
  </w:abstractNum>
  <w:abstractNum w:abstractNumId="28">
    <w:nsid w:val="22221A70"/>
    <w:multiLevelType w:val="hybridMultilevel"/>
    <w:lvl w:ilvl="0">
      <w:lvlJc w:val="left"/>
      <w:lvlText w:val="(%1)"/>
      <w:numFmt w:val="decimal"/>
      <w:start w:val="1"/>
    </w:lvl>
    <w:lvl w:ilvl="1">
      <w:lvlJc w:val="left"/>
      <w:lvlText w:val="(%2)"/>
      <w:numFmt w:val="lowerRoman"/>
      <w:start w:val="1"/>
    </w:lvl>
  </w:abstractNum>
  <w:abstractNum w:abstractNumId="29">
    <w:nsid w:val="4516DDE9"/>
    <w:multiLevelType w:val="hybridMultilevel"/>
    <w:lvl w:ilvl="0">
      <w:lvlJc w:val="left"/>
      <w:lvlText w:val="(%1)"/>
      <w:numFmt w:val="decimal"/>
      <w:start w:val="2"/>
    </w:lvl>
  </w:abstractNum>
  <w:abstractNum w:abstractNumId="30">
    <w:nsid w:val="3006C83E"/>
    <w:multiLevelType w:val="hybridMultilevel"/>
    <w:lvl w:ilvl="0">
      <w:lvlJc w:val="left"/>
      <w:lvlText w:val="(%1)"/>
      <w:numFmt w:val="decimal"/>
      <w:start w:val="5"/>
    </w:lvl>
  </w:abstractNum>
  <w:abstractNum w:abstractNumId="31">
    <w:nsid w:val="614FD4A1"/>
    <w:multiLevelType w:val="hybridMultilevel"/>
    <w:lvl w:ilvl="0">
      <w:lvlJc w:val="left"/>
      <w:lvlText w:val="%1"/>
      <w:numFmt w:val="decimal"/>
      <w:start w:val="1"/>
    </w:lvl>
    <w:lvl w:ilvl="1">
      <w:lvlJc w:val="left"/>
      <w:lvlText w:val="(%2)"/>
      <w:numFmt w:val="lowerRoman"/>
      <w:start w:val="1"/>
    </w:lvl>
  </w:abstractNum>
  <w:abstractNum w:abstractNumId="32">
    <w:nsid w:val="419AC241"/>
    <w:multiLevelType w:val="hybridMultilevel"/>
    <w:lvl w:ilvl="0">
      <w:lvlJc w:val="left"/>
      <w:lvlText w:val="(%1)"/>
      <w:numFmt w:val="decimal"/>
      <w:start w:val="6"/>
    </w:lvl>
    <w:lvl w:ilvl="1">
      <w:lvlJc w:val="left"/>
      <w:lvlText w:val="%2"/>
      <w:numFmt w:val="lowerRoman"/>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78"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jpeg"/><Relationship Id="rId105" Type="http://schemas.openxmlformats.org/officeDocument/2006/relationships/image" Target="media/image61.png"/><Relationship Id="rId106" Type="http://schemas.openxmlformats.org/officeDocument/2006/relationships/image" Target="media/image62.jpeg"/><Relationship Id="rId107" Type="http://schemas.openxmlformats.org/officeDocument/2006/relationships/image" Target="media/image63.png"/><Relationship Id="rId108" Type="http://schemas.openxmlformats.org/officeDocument/2006/relationships/image" Target="media/image64.jpeg"/><Relationship Id="rId109" Type="http://schemas.openxmlformats.org/officeDocument/2006/relationships/image" Target="media/image65.png"/><Relationship Id="rId110" Type="http://schemas.openxmlformats.org/officeDocument/2006/relationships/image" Target="media/image66.jpe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52" Type="http://schemas.openxmlformats.org/officeDocument/2006/relationships/hyperlink" Target="http://www.sec.gov/Archives/edgar/data/1963685/000121390026005343/ea0272362-10k_richtech.htm" TargetMode="External"/><Relationship Id="rId53" Type="http://schemas.openxmlformats.org/officeDocument/2006/relationships/hyperlink" Target="http://www.sec.gov/Archives/edgar/data/1963685/000121390026015097/ea0276202-10q_richtech.htm" TargetMode="External"/><Relationship Id="rId54" Type="http://schemas.openxmlformats.org/officeDocument/2006/relationships/hyperlink" Target="http://www.sec.gov/Archives/edgar/data/1963685/000121390025094712/ea0259775-8k_richtech.htm" TargetMode="External"/><Relationship Id="rId55" Type="http://schemas.openxmlformats.org/officeDocument/2006/relationships/hyperlink" Target="http://www.sec.gov/Archives/edgar/data/1963685/000121390025106091/ea0264040-8k_richtech.htm" TargetMode="External"/><Relationship Id="rId56" Type="http://schemas.openxmlformats.org/officeDocument/2006/relationships/hyperlink" Target="http://www.sec.gov/Archives/edgar/data/1963685/000121390025111197/ea0265579-8k_richtech.htm" TargetMode="External"/><Relationship Id="rId57" Type="http://schemas.openxmlformats.org/officeDocument/2006/relationships/hyperlink" Target="http://www.sec.gov/Archives/edgar/data/1963685/000121390025118715/ea0268703-8k_richtech.htm" TargetMode="External"/><Relationship Id="rId58" Type="http://schemas.openxmlformats.org/officeDocument/2006/relationships/hyperlink" Target="http://www.sec.gov/Archives/edgar/data/1963685/000121390026009823/ea0274739-8k_richtech.htm" TargetMode="External"/><Relationship Id="rId68" Type="http://schemas.openxmlformats.org/officeDocument/2006/relationships/hyperlink" Target="http://www.sec.gov/Archives/edgar/data/1963685/000121390023089609/ea188933ex3-1_richtech.htm" TargetMode="External"/><Relationship Id="rId69" Type="http://schemas.openxmlformats.org/officeDocument/2006/relationships/hyperlink" Target="http://www.sec.gov/Archives/edgar/data/1963685/000121390025111197/ea026557901ex3-1_richtech.htm" TargetMode="External"/><Relationship Id="rId70" Type="http://schemas.openxmlformats.org/officeDocument/2006/relationships/hyperlink" Target="http://www.sec.gov/Archives/edgar/data/1963685/000121390024003044/f10k2023ex3-3_richtech.htm" TargetMode="External"/><Relationship Id="rId71" Type="http://schemas.openxmlformats.org/officeDocument/2006/relationships/hyperlink" Target="http://www.sec.gov/Archives/edgar/data/1963685/000121390023073129/fs12023a1ex4-1_richtech.htm" TargetMode="External"/><Relationship Id="rId72" Type="http://schemas.openxmlformats.org/officeDocument/2006/relationships/hyperlink" Target="http://www.sec.gov/Archives/edgar/data/1963685/000121390023089609/ea188933ex4-1_richtech.htm" TargetMode="External"/><Relationship Id="rId73" Type="http://schemas.openxmlformats.org/officeDocument/2006/relationships/hyperlink" Target="http://www.sec.gov/Archives/edgar/data/1963685/000121390024076143/ea021364501ex4-1_richtech.htm" TargetMode="External"/><Relationship Id="rId74" Type="http://schemas.openxmlformats.org/officeDocument/2006/relationships/hyperlink" Target="http://www.sec.gov/Archives/edgar/data/1963685/000121390024076143/ea021364501ex4-2_richtech.htm" TargetMode="External"/><Relationship Id="rId75" Type="http://schemas.openxmlformats.org/officeDocument/2006/relationships/hyperlink" Target="http://www.sec.gov/Archives/edgar/data/1963685/000121390024076143/ea021364501ex4-3_richtech.htm" TargetMode="External"/><Relationship Id="rId76" Type="http://schemas.openxmlformats.org/officeDocument/2006/relationships/hyperlink" Target="http://www.sec.gov/Archives/edgar/data/1963685/000121390025011887/ea023058801ex4-1_richtech.htm" TargetMode="External"/><Relationship Id="rId77" Type="http://schemas.openxmlformats.org/officeDocument/2006/relationships/hyperlink" Target="http://www.sec.gov/Archives/edgar/data/1963685/000121390024089677/ea021828401ex10-1_richtech.htm" TargetMode="External"/><Relationship Id="rId79" Type="http://schemas.openxmlformats.org/officeDocument/2006/relationships/hyperlink" Target="http://www.sec.gov/Archives/edgar/data/1963685/000121390023073129/fs12023a1ex10-4_richtech.htm" TargetMode="External"/><Relationship Id="rId80" Type="http://schemas.openxmlformats.org/officeDocument/2006/relationships/hyperlink" Target="http://www.sec.gov/Archives/edgar/data/1963685/000121390023073129/fs12023a1ex10-5_richtech.htm" TargetMode="External"/><Relationship Id="rId81" Type="http://schemas.openxmlformats.org/officeDocument/2006/relationships/hyperlink" Target="http://www.sec.gov/Archives/edgar/data/1963685/000121390025111197/ea026557901ex10-1_richtech.htm" TargetMode="External"/><Relationship Id="rId82" Type="http://schemas.openxmlformats.org/officeDocument/2006/relationships/hyperlink" Target="http://www.sec.gov/Archives/edgar/data/1963685/000121390023073129/fs12023a1ex10-7_richtech.htm" TargetMode="External"/><Relationship Id="rId83" Type="http://schemas.openxmlformats.org/officeDocument/2006/relationships/hyperlink" Target="http://www.sec.gov/Archives/edgar/data/1963685/000121390023073129/fs12023a1ex10-8_richtech.htm" TargetMode="External"/><Relationship Id="rId84" Type="http://schemas.openxmlformats.org/officeDocument/2006/relationships/hyperlink" Target="http://www.sec.gov/Archives/edgar/data/1963685/000121390023073129/fs12023a1ex10-9_richtech.htm" TargetMode="External"/><Relationship Id="rId85" Type="http://schemas.openxmlformats.org/officeDocument/2006/relationships/hyperlink" Target="http://www.sec.gov/Archives/edgar/data/1963685/000121390023073129/fs12023a1ex10-10_richtech.htm" TargetMode="External"/><Relationship Id="rId86" Type="http://schemas.openxmlformats.org/officeDocument/2006/relationships/hyperlink" Target="http://www.sec.gov/Archives/edgar/data/1963685/000121390023073129/fs12023a1ex10-11_richtech.htm" TargetMode="External"/><Relationship Id="rId87" Type="http://schemas.openxmlformats.org/officeDocument/2006/relationships/hyperlink" Target="http://www.sec.gov/Archives/edgar/data/1963685/000121390024015755/ea0200404ex10-1_richtech.htm" TargetMode="External"/><Relationship Id="rId88" Type="http://schemas.openxmlformats.org/officeDocument/2006/relationships/hyperlink" Target="http://www.sec.gov/Archives/edgar/data/1963685/000121390024023065/ea020187901ex10-1_richtech.htm" TargetMode="External"/><Relationship Id="rId89" Type="http://schemas.openxmlformats.org/officeDocument/2006/relationships/hyperlink" Target="http://www.sec.gov/Archives/edgar/data/1963685/000121390024076143/ea021364501ex10-1_richtech.htm" TargetMode="External"/><Relationship Id="rId90" Type="http://schemas.openxmlformats.org/officeDocument/2006/relationships/hyperlink" Target="http://www.sec.gov/Archives/edgar/data/1963685/000121390025011887/ea023058801ex10-1_richtech.htm" TargetMode="External"/><Relationship Id="rId91" Type="http://schemas.openxmlformats.org/officeDocument/2006/relationships/hyperlink" Target="http://www.sec.gov/Archives/edgar/data/1963685/000121390025031633/ea023824001ex10-1_richtech.htm" TargetMode="External"/><Relationship Id="rId92" Type="http://schemas.openxmlformats.org/officeDocument/2006/relationships/hyperlink" Target="http://www.sec.gov/Archives/edgar/data/1963685/000121390025059641/ea024758501ex10-1_richtech.htm" TargetMode="External"/><Relationship Id="rId93" Type="http://schemas.openxmlformats.org/officeDocument/2006/relationships/hyperlink" Target="http://www.sec.gov/Archives/edgar/data/1963685/000121390025080120/ea025442101ex10-1_richtech.htm" TargetMode="External"/><Relationship Id="rId94" Type="http://schemas.openxmlformats.org/officeDocument/2006/relationships/hyperlink" Target="http://www.sec.gov/Archives/edgar/data/1963685/000121390025081354/ea025479301ex10-1_richtech.htm" TargetMode="External"/><Relationship Id="rId95" Type="http://schemas.openxmlformats.org/officeDocument/2006/relationships/hyperlink" Target="http://www.sec.gov/Archives/edgar/data/1963685/000121390025090793/ea025844101ex10-1_richtech.htm" TargetMode="External"/><Relationship Id="rId96" Type="http://schemas.openxmlformats.org/officeDocument/2006/relationships/hyperlink" Target="http://www.sec.gov/Archives/edgar/data/1963685/000121390026009823/ea027473901ex10-1_richtech.htm" TargetMode="External"/><Relationship Id="rId97" Type="http://schemas.openxmlformats.org/officeDocument/2006/relationships/hyperlink" Target="http://www.sec.gov/Archives/edgar/data/1963685/000121390026009823/ea027473901ex10-2_richtech.htm" TargetMode="External"/><Relationship Id="rId98" Type="http://schemas.openxmlformats.org/officeDocument/2006/relationships/hyperlink" Target="http://www.sec.gov/Archives/edgar/data/1963685/000121390026005343/ea027236201ex21_rich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2026-02-18T05:16:43Z</dcterms:created>
  <dcterms:modified xsi:type="dcterms:W3CDTF">2026-02-18T05:16:43Z</dcterms:modified>
</cp:coreProperties>
</file>