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Markscheid Stephen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2975 LINCOLN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RICHTECH ROBOTICS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07/08/2024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12,000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02/17/2025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18,000</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10/29/2025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24,000</w:t>
            </w:r>
            <w:r>
              <w:rPr>
                <w:rFonts w:ascii="Times New Roman" w:cs="Times New Roman" w:eastAsia="Times New Roman" w:hAnsi="Times New Roman"/>
                <w:sz w:val="22"/>
                <w:szCs w:val="22"/>
                <w:color w:val="008000"/>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12,000 restricted stock awards ("RSAs") granted by the Board of Directors of the Issuer to the Reporting Person on July 8,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 RSAs granted by the Board of Directors of the Issuer to the Reporting Person on November 20,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18,000 RSAs granted by the Board of Directors of the Issuer to the Reporting Person on February 17, 2025. 6,000 RSAs vested on each of February 17, 2025, May 17, 2025 and August 17,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24,000 RSAs granted by the Board of Directors of the Issuer to the Reporting Person on October 29, 2025. The RSAs vest quarterly in equal installments beginning November 17,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Stephen Markscheid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4971" TargetMode="External"/><Relationship Id="rId14" Type="http://schemas.openxmlformats.org/officeDocument/2006/relationships/hyperlink" Target="http://www.sec.gov/cgi-bin/browse-edgar?action=getcompany&amp;CIK=0001963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2026-01-13T15:56:29Z</dcterms:created>
  <dcterms:modified xsi:type="dcterms:W3CDTF">2026-01-13T15:56:29Z</dcterms:modified>
</cp:coreProperties>
</file>