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29, 2025</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Richtech Robotics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001-41866</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88-2870106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2975 Lincoln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Las Vegas, NV</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89115</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(866) 236-3835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B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RR</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below in Item 5.07 is incorporated by reference in this Item 5.02.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On September 29, 2025, Richtech Robotics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2025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At the Annual Meeting, the Company’s stockholders voted on the following two proposals: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Election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Stephen Markscheid was elected to serve on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for a three-year term that expires at the 2028 Annual Meeting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or until his earlier death, resignation or removal and his successor is elected and qualified. The final results of the voting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000000"/>
          </w:tcPr>
          <w:p>
            <w:pPr>
              <w:spacing w:after="0"/>
              <w:rPr>
                <w:sz w:val="2"/>
                <w:szCs w:val="2"/>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Markscheid</w:t>
            </w:r>
          </w:p>
        </w:tc>
        <w:tc>
          <w:tcPr>
            <w:tcW w:w="2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387,765,611</w:t>
            </w:r>
          </w:p>
        </w:tc>
        <w:tc>
          <w:tcPr>
            <w:tcW w:w="2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2,564,602</w:t>
            </w:r>
          </w:p>
        </w:tc>
        <w:tc>
          <w:tcPr>
            <w:tcW w:w="2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Ratification of Auditors</w:t>
            </w: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Bush &amp; Associates CPA LLC as the Company’s independent registered public accounting firm for the current fiscal year. The final results of the voting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000000"/>
          </w:tcPr>
          <w:p>
            <w:pPr>
              <w:spacing w:after="0"/>
              <w:rPr>
                <w:sz w:val="2"/>
                <w:szCs w:val="2"/>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390,212,416</w:t>
            </w: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65,562</w:t>
            </w:r>
          </w:p>
        </w:tc>
        <w:tc>
          <w:tcPr>
            <w:tcW w:w="36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52,235</w:t>
            </w:r>
          </w:p>
        </w:tc>
        <w:tc>
          <w:tcPr>
            <w:tcW w:w="2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 2025</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Zhenwu (Wayne)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ind w:left="7100"/>
        <w:spacing w:after="0"/>
        <w:rPr>
          <w:sz w:val="20"/>
          <w:szCs w:val="20"/>
          <w:color w:val="auto"/>
        </w:rPr>
      </w:pPr>
      <w:r>
        <w:rPr>
          <w:rFonts w:ascii="Times New Roman" w:cs="Times New Roman" w:eastAsia="Times New Roman" w:hAnsi="Times New Roman"/>
          <w:sz w:val="18"/>
          <w:szCs w:val="18"/>
          <w:color w:val="auto"/>
        </w:rPr>
        <w:t>Zhenwu (Wayne) Huang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2025-10-01T15:41:16Z</dcterms:created>
  <dcterms:modified xsi:type="dcterms:W3CDTF">2025-10-01T15:41:16Z</dcterms:modified>
</cp:coreProperties>
</file>