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2975 Lincoln Rd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Vegas, NV 89115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25,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Matthew Derby</w:t>
      </w:r>
    </w:p>
    <w:p>
      <w:pPr>
        <w:spacing w:after="0" w:line="20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color w:val="auto"/>
        </w:rPr>
        <w:t>Richtech Robotics Inc.</w:t>
      </w:r>
    </w:p>
    <w:p>
      <w:pPr>
        <w:spacing w:after="0" w:line="3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Filed February 18, 2026</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File No. 333-293535</w:t>
      </w:r>
    </w:p>
    <w:p>
      <w:pPr>
        <w:spacing w:after="0" w:line="20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Gentleman,</w:t>
      </w:r>
    </w:p>
    <w:p>
      <w:pPr>
        <w:spacing w:after="0" w:line="225" w:lineRule="exact"/>
        <w:rPr>
          <w:sz w:val="24"/>
          <w:szCs w:val="24"/>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Richtech Robotics Inc. hereby requests acceleration of effectiveness of the above referenced Registration Statement so that it will become effective at 5:00 p.m. EST on Friday, February 27, 2026, or as soon as thereafter practicable.</w:t>
      </w:r>
    </w:p>
    <w:p>
      <w:pPr>
        <w:spacing w:after="0" w:line="140"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Zhenwu (Wayne) Huang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Zhenwu (Wayne) Huang</w:t>
      </w:r>
    </w:p>
    <w:p>
      <w:pPr>
        <w:spacing w:after="0" w:line="27"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Ellenoff Grossman &amp; Schole LLP</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2026-04-06T00:12:08Z</dcterms:created>
  <dcterms:modified xsi:type="dcterms:W3CDTF">2026-04-06T00:12:08Z</dcterms:modified>
</cp:coreProperties>
</file>