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28, 2025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001-41866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236-3835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10, 2025, Richtech Robotics Inc. (the “Company”) entered into a Master Services Agreement (the “MSA”), with a top 5 automotive dealership by revenue and number of dealerships in the United States (the “Client”), pursuant to which the Company shall work on project(s) for the Client under additional statement(s) of work ( “SOW”) to be completed by the Company and the Client or work order(s) to be issued by the Client. The full launch of the MSA shall be subject to the successful completion of the pilot program and approval of the Client’s management team. The MSA will continue in force as long as one or more SOW remain in effect and will renew for an additional 12 month periods unless either party notices the other party in writing of its intent not to review 30 days prior to the expiration of the term. The MSA also contains other customary provisions, including intellectual property and confidentiality.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27, 2025, the Client notified the Company the completion of the pilot program and its intention to further enter into SOWs for their dealership locations.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580" w:right="4380" w:hanging="5572"/>
        <w:spacing w:after="0" w:line="783" w:lineRule="auto"/>
        <w:tabs>
          <w:tab w:leader="none" w:pos="10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29,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2025-08-29T07:39:18Z</dcterms:created>
  <dcterms:modified xsi:type="dcterms:W3CDTF">2025-08-29T07:39:18Z</dcterms:modified>
</cp:coreProperties>
</file>