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Huang Zhenwu</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2975 LINCOLN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RICHTECH ROBOTICS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12/04/2025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279" w:lineRule="exact"/>
        <w:rPr>
          <w:sz w:val="24"/>
          <w:szCs w:val="24"/>
          <w:color w:val="auto"/>
        </w:rPr>
      </w:pPr>
    </w:p>
    <w:p>
      <w:pPr>
        <w:sectPr>
          <w:pgSz w:w="11900" w:h="16838" w:orient="portrait"/>
          <w:cols w:equalWidth="0" w:num="3">
            <w:col w:w="3200" w:space="720"/>
            <w:col w:w="3180" w:space="635"/>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80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800" w:type="dxa"/>
            <w:vAlign w:val="bottom"/>
            <w:gridSpan w:val="6"/>
            <w:vMerge w:val="continue"/>
          </w:tcPr>
          <w:p>
            <w:pPr>
              <w:spacing w:after="0"/>
              <w:rPr>
                <w:sz w:val="10"/>
                <w:szCs w:val="10"/>
                <w:color w:val="auto"/>
              </w:rPr>
            </w:pPr>
          </w:p>
        </w:tc>
        <w:tc>
          <w:tcPr>
            <w:tcW w:w="350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LAS VEGAS</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NV</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89115</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12/04/2025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3"/>
              </w:rPr>
              <w:t>400,000</w:t>
            </w:r>
            <w:r>
              <w:rPr>
                <w:rFonts w:ascii="Times New Roman" w:cs="Times New Roman" w:eastAsia="Times New Roman" w:hAnsi="Times New Roman"/>
                <w:sz w:val="22"/>
                <w:szCs w:val="22"/>
                <w:color w:val="008000"/>
                <w:w w:val="93"/>
                <w:vertAlign w:val="superscript"/>
              </w:rPr>
              <w:t>(1)</w:t>
            </w:r>
          </w:p>
        </w:tc>
        <w:tc>
          <w:tcPr>
            <w:tcW w:w="6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30,708,000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12/04/2025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3"/>
              </w:rPr>
              <w:t>180,000</w:t>
            </w:r>
            <w:r>
              <w:rPr>
                <w:rFonts w:ascii="Times New Roman" w:cs="Times New Roman" w:eastAsia="Times New Roman" w:hAnsi="Times New Roman"/>
                <w:sz w:val="22"/>
                <w:szCs w:val="22"/>
                <w:color w:val="008000"/>
                <w:w w:val="93"/>
                <w:vertAlign w:val="superscript"/>
              </w:rPr>
              <w:t>(2)</w:t>
            </w:r>
          </w:p>
        </w:tc>
        <w:tc>
          <w:tcPr>
            <w:tcW w:w="6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4.59</w:t>
            </w:r>
          </w:p>
        </w:tc>
        <w:tc>
          <w:tcPr>
            <w:tcW w:w="12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30,528,000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400,000 restricted stock awards ("RSAs") granted by the Board of Directors of the Issuer to the Reporting Person on December 4, 2025. The RSAs were fully vested on the date of granting.</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were withheld to satisfy the Reporting Person's tax liability in connection with the vesting of RSAs. The tax withholding was approved by the Board of Directors of the Issuer.</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Zhenwu (Wayne) Huang</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01/12/2026</w:t>
            </w:r>
          </w:p>
        </w:tc>
      </w:tr>
      <w:tr>
        <w:trPr>
          <w:trHeight w:val="20"/>
        </w:trPr>
        <w:tc>
          <w:tcPr>
            <w:tcW w:w="1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00346" TargetMode="External"/><Relationship Id="rId14" Type="http://schemas.openxmlformats.org/officeDocument/2006/relationships/hyperlink" Target="http://www.sec.gov/cgi-bin/browse-edgar?action=getcompany&amp;CIK=00019636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2026-01-12T17:05:48Z</dcterms:created>
  <dcterms:modified xsi:type="dcterms:W3CDTF">2026-01-12T17:05:48Z</dcterms:modified>
</cp:coreProperties>
</file>