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August 2,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Megan Akst</w:t>
      </w:r>
    </w:p>
    <w:p>
      <w:pPr>
        <w:spacing w:after="0" w:line="22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 Richtech Robotics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Amendment No. 3 to Draft Registration Statement on Form S-1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Submitted June 14, 2023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CIK No. 0001963685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Akst:</w:t>
      </w:r>
    </w:p>
    <w:p>
      <w:pPr>
        <w:spacing w:after="0" w:line="221" w:lineRule="exact"/>
        <w:rPr>
          <w:sz w:val="24"/>
          <w:szCs w:val="24"/>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Richtech Robotics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hereby transmits the Company’s response to the comment letter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June 29, 2023, regarding our Amendment No. 3 to Draft Registration Statement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Commission on June 14, 2023. Concurrently with the submission of this letter, the Company is filing a Registration Statement on Form S-1 (the “</w:t>
      </w:r>
      <w:r>
        <w:rPr>
          <w:rFonts w:ascii="Times New Roman" w:cs="Times New Roman" w:eastAsia="Times New Roman" w:hAnsi="Times New Roman"/>
          <w:sz w:val="18"/>
          <w:szCs w:val="18"/>
          <w:b w:val="1"/>
          <w:bCs w:val="1"/>
          <w:color w:val="auto"/>
        </w:rPr>
        <w:t>Revised Registration Statement</w:t>
      </w:r>
      <w:r>
        <w:rPr>
          <w:rFonts w:ascii="Times New Roman" w:cs="Times New Roman" w:eastAsia="Times New Roman" w:hAnsi="Times New Roman"/>
          <w:sz w:val="18"/>
          <w:szCs w:val="18"/>
          <w:color w:val="auto"/>
        </w:rPr>
        <w:t>”). Capitalized terms used but not otherwise defined herein shall have the meanings ascribed thereto in the Revised Registration Statement.</w:t>
      </w:r>
    </w:p>
    <w:p>
      <w:pPr>
        <w:spacing w:after="0" w:line="183"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Staff’s convenience, we have repeated below the Staff’s comments in bold and have followed each comment with the Company’s response.</w:t>
      </w:r>
    </w:p>
    <w:p>
      <w:pPr>
        <w:spacing w:after="0" w:line="158" w:lineRule="exact"/>
        <w:rPr>
          <w:sz w:val="24"/>
          <w:szCs w:val="24"/>
          <w:color w:val="auto"/>
        </w:rPr>
      </w:pPr>
    </w:p>
    <w:p>
      <w:pPr>
        <w:ind w:right="44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Amendment No. 3 to Draft Registration Statement on Form S-1 Submitted June 14, 2023 Prospectus Summary, page 4</w:t>
      </w:r>
    </w:p>
    <w:p>
      <w:pPr>
        <w:spacing w:after="0" w:line="155" w:lineRule="exact"/>
        <w:rPr>
          <w:sz w:val="24"/>
          <w:szCs w:val="24"/>
          <w:color w:val="auto"/>
        </w:rPr>
      </w:pPr>
    </w:p>
    <w:p>
      <w:pPr>
        <w:jc w:val="both"/>
        <w:ind w:left="660" w:hanging="328"/>
        <w:spacing w:after="0" w:line="268"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you have entered into Master Service Agreements (“MSAs”) with “several” large enterprises. Please revise to define what constitutes an enterprise customer and percentage of MSAs and sales that are attributable to your enterprise customers for the periods presented.</w:t>
      </w:r>
    </w:p>
    <w:p>
      <w:pPr>
        <w:spacing w:after="0" w:line="175" w:lineRule="exact"/>
        <w:rPr>
          <w:sz w:val="24"/>
          <w:szCs w:val="24"/>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advises the Staff that it has revised the disclosures on pages 4 and 48 of the Revised Registration Statement accordingly.</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Contracts, page 48</w:t>
      </w:r>
    </w:p>
    <w:p>
      <w:pPr>
        <w:spacing w:after="0" w:line="225" w:lineRule="exact"/>
        <w:rPr>
          <w:sz w:val="24"/>
          <w:szCs w:val="24"/>
          <w:color w:val="auto"/>
        </w:rPr>
      </w:pPr>
    </w:p>
    <w:p>
      <w:pPr>
        <w:ind w:left="660" w:hanging="328"/>
        <w:spacing w:after="0" w:line="286"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as part of your MSA with “one of the top casino companies in the United States” you expected to receive a $1 million purchase order in the first quarter of 2023. Please revise to disclose the status of the $1 million purchase order.</w:t>
      </w:r>
    </w:p>
    <w:p>
      <w:pPr>
        <w:spacing w:after="0" w:line="159" w:lineRule="exact"/>
        <w:rPr>
          <w:sz w:val="24"/>
          <w:szCs w:val="24"/>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advises the Staff that it has revised the disclosures on page 48 of the Revised Registration Statement accordingly.</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Financial Statements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 Equity, page F-9</w:t>
      </w:r>
    </w:p>
    <w:p>
      <w:pPr>
        <w:spacing w:after="0" w:line="203" w:lineRule="exact"/>
        <w:rPr>
          <w:sz w:val="24"/>
          <w:szCs w:val="24"/>
          <w:color w:val="auto"/>
        </w:rPr>
      </w:pPr>
    </w:p>
    <w:p>
      <w:pPr>
        <w:jc w:val="both"/>
        <w:ind w:left="660" w:hanging="328"/>
        <w:spacing w:after="0" w:line="25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revised disclosures in response to prior comment 3 and you reference to ASC 805-10-55-3 (c) as it relates to the conversion of member units into common stock. Please tell us how you determined that this qualifies as a business combination transaction. Specifically address how you considered the guidance in ASC 805-10-15-4 (c) and ASC 805-50-15-6 and why you believe the conversion of member equity units to common stock does not qualify as a common control transaction. Alternatively, revise your disclosures as necessary. To the extent you determine this qualifies as a common control transaction, ensure that members equity is reflected in the fiscal 2021 financials statements and that you have properly reflected the reclassification of members equity during fiscal 2022 to paid-in-capital. Refer to ASC 805-50-45-4 and SAB Topic 4.B, by analogy.</w:t>
      </w:r>
    </w:p>
    <w:p>
      <w:pPr>
        <w:spacing w:after="0" w:line="187" w:lineRule="exact"/>
        <w:rPr>
          <w:sz w:val="24"/>
          <w:szCs w:val="24"/>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advises the Staff that it has revised the disclosures on pages F-9 and F-22 of the Revised Registration Statement accordingly.</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ind w:firstLine="648"/>
        <w:spacing w:after="0" w:line="282" w:lineRule="auto"/>
        <w:rPr>
          <w:sz w:val="20"/>
          <w:szCs w:val="20"/>
          <w:color w:val="auto"/>
        </w:rPr>
      </w:pPr>
      <w:r>
        <w:rPr>
          <w:rFonts w:ascii="Times New Roman" w:cs="Times New Roman" w:eastAsia="Times New Roman" w:hAnsi="Times New Roman"/>
          <w:sz w:val="18"/>
          <w:szCs w:val="18"/>
          <w:color w:val="auto"/>
        </w:rPr>
        <w:t>We thank the Staff for its review of the foregoing. If you have further comments, please feel free to contact to our counsel, Richard Anslow, Esq., at ranslow@egsllp.com or by telephone at (212) 370-1300.</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Zhenwu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Zhenwu Huang, Chief Executive Officer</w:t>
      </w:r>
    </w:p>
    <w:p>
      <w:pPr>
        <w:spacing w:after="0" w:line="22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Anslow, Esq.</w:t>
      </w:r>
    </w:p>
    <w:p>
      <w:pPr>
        <w:spacing w:after="0" w:line="36"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Ellenoff Grossman &amp; Schole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-136525</wp:posOffset>
            </wp:positionV>
            <wp:extent cx="26231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31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2023-12-18T00:21:14Z</dcterms:created>
  <dcterms:modified xsi:type="dcterms:W3CDTF">2023-12-18T00:21:14Z</dcterms:modified>
</cp:coreProperties>
</file>