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9578-8k_richtech.htm"/>
      <w:bookmarkStart w:id="1" w:name="ksea02995788k_richtech"/>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D_edei--DocumentType_c20260728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 </w:t>
      </w:r>
      <w:bookmarkStart w:id="3" w:name="xdx_90A_edei--DocumentPeriodEndDate_c202"/>
      <w:bookmarkEnd w:id="3"/>
      <w:r>
        <w:rPr>
          <w:rFonts w:ascii="Times New Roman;Times;Serif" w:hAnsi="Times New Roman;Times;Serif"/>
          <w:b/>
          <w:i w:val="false"/>
          <w:caps w:val="false"/>
          <w:smallCaps w:val="false"/>
          <w:sz w:val="20"/>
        </w:rPr>
        <w:t>July 28,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2_edei--EntityRegistrantName_c2026"/>
      <w:bookmarkEnd w:id="4"/>
      <w:r>
        <w:rPr>
          <w:rFonts w:ascii="Times New Roman;Times;Serif" w:hAnsi="Times New Roman;Times;Serif"/>
          <w:b/>
          <w:i w:val="false"/>
          <w:caps w:val="false"/>
          <w:smallCaps w:val="false"/>
          <w:sz w:val="20"/>
        </w:rPr>
        <w:t>Richtech Robotics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956" w:type="dxa"/>
        <w:jc w:val="left"/>
        <w:tblInd w:w="0" w:type="dxa"/>
        <w:tblLayout w:type="fixed"/>
        <w:tblCellMar>
          <w:top w:w="0" w:type="dxa"/>
          <w:left w:w="0" w:type="dxa"/>
          <w:bottom w:w="28" w:type="dxa"/>
          <w:right w:w="0" w:type="dxa"/>
        </w:tblCellMar>
      </w:tblPr>
      <w:tblGrid>
        <w:gridCol w:w="2165"/>
        <w:gridCol w:w="23"/>
        <w:gridCol w:w="2210"/>
        <w:gridCol w:w="23"/>
        <w:gridCol w:w="1535"/>
      </w:tblGrid>
      <w:tr>
        <w:trPr/>
        <w:tc>
          <w:tcPr>
            <w:tcW w:w="2165" w:type="dxa"/>
            <w:tcBorders>
              <w:bottom w:val="single" w:sz="12" w:space="0" w:color="000000"/>
            </w:tcBorders>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bookmarkStart w:id="5" w:name="xdx_905_edei--EntityIncorporationStateCo"/>
            <w:bookmarkEnd w:id="5"/>
            <w:r>
              <w:rPr>
                <w:rFonts w:ascii="Times New Roman;Times;Serif" w:hAnsi="Times New Roman;Times;Serif"/>
                <w:b/>
                <w:i w:val="false"/>
                <w:caps w:val="false"/>
                <w:smallCaps w:val="false"/>
                <w:sz w:val="20"/>
              </w:rPr>
              <w:t>Nevada</w:t>
            </w:r>
          </w:p>
        </w:tc>
        <w:tc>
          <w:tcPr>
            <w:tcW w:w="23" w:type="dxa"/>
            <w:tcBorders/>
            <w:tcMar>
              <w:bottom w:w="0" w:type="dxa"/>
            </w:tcMar>
            <w:vAlign w:val="center"/>
          </w:tcPr>
          <w:p>
            <w:pPr>
              <w:pStyle w:val="TableContents"/>
              <w:bidi w:val="0"/>
              <w:spacing w:before="0" w:after="283"/>
              <w:jc w:val="left"/>
              <w:rPr>
                <w:sz w:val="4"/>
                <w:szCs w:val="4"/>
              </w:rPr>
            </w:pPr>
            <w:r>
              <w:rPr>
                <w:sz w:val="4"/>
                <w:szCs w:val="4"/>
              </w:rPr>
            </w:r>
          </w:p>
        </w:tc>
        <w:tc>
          <w:tcPr>
            <w:tcW w:w="2210" w:type="dxa"/>
            <w:tcBorders>
              <w:bottom w:val="single" w:sz="12" w:space="0" w:color="000000"/>
            </w:tcBorders>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bookmarkStart w:id="6" w:name="xdx_90A_edei--EntityFileNumber_c20260728"/>
            <w:bookmarkEnd w:id="6"/>
            <w:r>
              <w:rPr>
                <w:rFonts w:ascii="Times New Roman;Times;Serif" w:hAnsi="Times New Roman;Times;Serif"/>
                <w:b/>
                <w:i w:val="false"/>
                <w:caps w:val="false"/>
                <w:smallCaps w:val="false"/>
                <w:sz w:val="20"/>
              </w:rPr>
              <w:t>001-41866</w:t>
            </w:r>
          </w:p>
        </w:tc>
        <w:tc>
          <w:tcPr>
            <w:tcW w:w="23" w:type="dxa"/>
            <w:tcBorders/>
            <w:tcMar>
              <w:bottom w:w="0" w:type="dxa"/>
            </w:tcMar>
            <w:vAlign w:val="center"/>
          </w:tcPr>
          <w:p>
            <w:pPr>
              <w:pStyle w:val="TableContents"/>
              <w:bidi w:val="0"/>
              <w:spacing w:before="0" w:after="283"/>
              <w:jc w:val="left"/>
              <w:rPr>
                <w:sz w:val="4"/>
                <w:szCs w:val="4"/>
              </w:rPr>
            </w:pPr>
            <w:r>
              <w:rPr>
                <w:sz w:val="4"/>
                <w:szCs w:val="4"/>
              </w:rPr>
            </w:r>
          </w:p>
        </w:tc>
        <w:tc>
          <w:tcPr>
            <w:tcW w:w="1535" w:type="dxa"/>
            <w:tcBorders>
              <w:bottom w:val="single" w:sz="12" w:space="0" w:color="000000"/>
            </w:tcBorders>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bookmarkStart w:id="7" w:name="xdx_906_edei--EntityTaxIdentificationNum"/>
            <w:bookmarkEnd w:id="7"/>
            <w:r>
              <w:rPr>
                <w:rFonts w:ascii="Times New Roman;Times;Serif" w:hAnsi="Times New Roman;Times;Serif"/>
                <w:b/>
                <w:i w:val="false"/>
                <w:caps w:val="false"/>
                <w:smallCaps w:val="false"/>
                <w:sz w:val="20"/>
              </w:rPr>
              <w:t>88-2870106</w:t>
            </w:r>
          </w:p>
        </w:tc>
      </w:tr>
      <w:tr>
        <w:trPr/>
        <w:tc>
          <w:tcPr>
            <w:tcW w:w="2165" w:type="dxa"/>
            <w:tcBorders/>
            <w:tcMar>
              <w:bottom w:w="0" w:type="dxa"/>
            </w:tcMar>
            <w:vAlign w:val="center"/>
          </w:tcPr>
          <w:p>
            <w:pPr>
              <w:pStyle w:val="TableContents"/>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br/>
              <w:t>of incorporation)</w:t>
            </w:r>
          </w:p>
        </w:tc>
        <w:tc>
          <w:tcPr>
            <w:tcW w:w="23" w:type="dxa"/>
            <w:tcBorders/>
            <w:tcMar>
              <w:bottom w:w="0" w:type="dxa"/>
            </w:tcMar>
            <w:vAlign w:val="center"/>
          </w:tcPr>
          <w:p>
            <w:pPr>
              <w:pStyle w:val="TableContents"/>
              <w:bidi w:val="0"/>
              <w:spacing w:before="0" w:after="283"/>
              <w:jc w:val="left"/>
              <w:rPr>
                <w:sz w:val="4"/>
                <w:szCs w:val="4"/>
              </w:rPr>
            </w:pPr>
            <w:r>
              <w:rPr>
                <w:sz w:val="4"/>
                <w:szCs w:val="4"/>
              </w:rPr>
            </w:r>
          </w:p>
        </w:tc>
        <w:tc>
          <w:tcPr>
            <w:tcW w:w="2210" w:type="dxa"/>
            <w:tcBorders/>
            <w:tcMar>
              <w:bottom w:w="0" w:type="dxa"/>
            </w:tcMar>
            <w:vAlign w:val="center"/>
          </w:tcPr>
          <w:p>
            <w:pPr>
              <w:pStyle w:val="TableContents"/>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23" w:type="dxa"/>
            <w:tcBorders/>
            <w:tcMar>
              <w:bottom w:w="0" w:type="dxa"/>
            </w:tcMar>
            <w:vAlign w:val="center"/>
          </w:tcPr>
          <w:p>
            <w:pPr>
              <w:pStyle w:val="TableContents"/>
              <w:bidi w:val="0"/>
              <w:spacing w:before="0" w:after="283"/>
              <w:jc w:val="left"/>
              <w:rPr>
                <w:sz w:val="4"/>
                <w:szCs w:val="4"/>
              </w:rPr>
            </w:pPr>
            <w:r>
              <w:rPr>
                <w:sz w:val="4"/>
                <w:szCs w:val="4"/>
              </w:rPr>
            </w:r>
          </w:p>
        </w:tc>
        <w:tc>
          <w:tcPr>
            <w:tcW w:w="1535" w:type="dxa"/>
            <w:tcBorders/>
            <w:tcMar>
              <w:bottom w:w="0" w:type="dxa"/>
            </w:tcMar>
            <w:vAlign w:val="center"/>
          </w:tcPr>
          <w:p>
            <w:pPr>
              <w:pStyle w:val="TableContents"/>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9_edei--EntityAddressAddressLine1_"/>
      <w:bookmarkEnd w:id="8"/>
      <w:r>
        <w:rPr>
          <w:rFonts w:ascii="Times New Roman;Times;Serif" w:hAnsi="Times New Roman;Times;Serif"/>
          <w:b/>
          <w:i w:val="false"/>
          <w:caps w:val="false"/>
          <w:smallCaps w:val="false"/>
          <w:sz w:val="20"/>
        </w:rPr>
        <w:t>2975 Lincoln Rd</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7_edei--EntityAddressCityOrTown_c2"/>
      <w:bookmarkEnd w:id="9"/>
      <w:r>
        <w:rPr>
          <w:rFonts w:ascii="Times New Roman;Times;Serif" w:hAnsi="Times New Roman;Times;Serif"/>
          <w:b/>
          <w:i w:val="false"/>
          <w:caps w:val="false"/>
          <w:smallCaps w:val="false"/>
          <w:sz w:val="20"/>
        </w:rPr>
        <w:t>Las Vegas, </w:t>
      </w:r>
      <w:bookmarkStart w:id="10" w:name="xdx_90C_edei--EntityAddressStateOrProvin"/>
      <w:bookmarkEnd w:id="10"/>
      <w:r>
        <w:rPr>
          <w:rFonts w:ascii="Times New Roman;Times;Serif" w:hAnsi="Times New Roman;Times;Serif"/>
          <w:b/>
          <w:i w:val="false"/>
          <w:caps w:val="false"/>
          <w:smallCaps w:val="false"/>
          <w:sz w:val="20"/>
        </w:rPr>
        <w:t>NV </w:t>
      </w:r>
      <w:bookmarkStart w:id="11" w:name="xdx_904_edei--EntityAddressPostalZipCode"/>
      <w:bookmarkEnd w:id="11"/>
      <w:r>
        <w:rPr>
          <w:rFonts w:ascii="Times New Roman;Times;Serif" w:hAnsi="Times New Roman;Times;Serif"/>
          <w:b/>
          <w:i w:val="false"/>
          <w:caps w:val="false"/>
          <w:smallCaps w:val="false"/>
          <w:sz w:val="20"/>
        </w:rPr>
        <w:t>89115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w:t>
      </w:r>
      <w:r>
        <w:rPr>
          <w:rFonts w:ascii="Times New Roman;Times;Serif" w:hAnsi="Times New Roman;Times;Serif"/>
          <w:b/>
          <w:i w:val="false"/>
          <w:caps w:val="false"/>
          <w:smallCaps w:val="false"/>
          <w:sz w:val="20"/>
        </w:rPr>
        <w:t>(</w:t>
      </w:r>
      <w:bookmarkStart w:id="12" w:name="xdx_904_edei--CityAreaCode_c20260728__20"/>
      <w:bookmarkEnd w:id="12"/>
      <w:r>
        <w:rPr>
          <w:rFonts w:ascii="Times New Roman;Times;Serif" w:hAnsi="Times New Roman;Times;Serif"/>
          <w:b/>
          <w:i w:val="false"/>
          <w:caps w:val="false"/>
          <w:smallCaps w:val="false"/>
          <w:sz w:val="20"/>
        </w:rPr>
        <w:t xml:space="preserve">866) </w:t>
      </w:r>
      <w:bookmarkStart w:id="13" w:name="xdx_902_edei--LocalPhoneNumber_c20260728"/>
      <w:bookmarkEnd w:id="13"/>
      <w:r>
        <w:rPr>
          <w:rFonts w:ascii="Times New Roman;Times;Serif" w:hAnsi="Times New Roman;Times;Serif"/>
          <w:b/>
          <w:i w:val="false"/>
          <w:caps w:val="false"/>
          <w:smallCaps w:val="false"/>
          <w:sz w:val="20"/>
        </w:rPr>
        <w:t>236-3835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 Applicable</w:t>
      </w:r>
      <w:r>
        <w:rPr>
          <w:rFonts w:ascii="Times New Roman;Times;Serif" w:hAnsi="Times New Roman;Times;Serif"/>
          <w:b w:val="false"/>
          <w:i w:val="false"/>
          <w:caps w:val="false"/>
          <w:smallCaps w:val="false"/>
          <w:sz w:val="20"/>
        </w:rPr>
        <w:b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firstLine="72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4" w:name="xdx_905_edei--WrittenCommunications_c202"/>
            <w:bookmarkEnd w:id="14"/>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283"/>
        <w:jc w:val="left"/>
        <w:rPr/>
      </w:pPr>
      <w:r>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C_edei--SolicitingMaterial_c202607"/>
            <w:bookmarkEnd w:id="15"/>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A_edei--PreCommencementTenderOffer"/>
            <w:bookmarkEnd w:id="16"/>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7_edei--PreCommencementIssuerTende"/>
            <w:bookmarkEnd w:id="17"/>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8896" w:type="dxa"/>
        <w:jc w:val="left"/>
        <w:tblInd w:w="0" w:type="dxa"/>
        <w:tblLayout w:type="fixed"/>
        <w:tblCellMar>
          <w:top w:w="0" w:type="dxa"/>
          <w:left w:w="0" w:type="dxa"/>
          <w:bottom w:w="28" w:type="dxa"/>
          <w:right w:w="0" w:type="dxa"/>
        </w:tblCellMar>
      </w:tblPr>
      <w:tblGrid>
        <w:gridCol w:w="4280"/>
        <w:gridCol w:w="23"/>
        <w:gridCol w:w="860"/>
        <w:gridCol w:w="23"/>
        <w:gridCol w:w="3710"/>
      </w:tblGrid>
      <w:tr>
        <w:trPr/>
        <w:tc>
          <w:tcPr>
            <w:tcW w:w="4280" w:type="dxa"/>
            <w:tcBorders>
              <w:bottom w:val="single" w:sz="12" w:space="0" w:color="000000"/>
            </w:tcBorders>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23" w:type="dxa"/>
            <w:tcBorders/>
            <w:tcMar>
              <w:bottom w:w="0" w:type="dxa"/>
            </w:tcMar>
            <w:vAlign w:val="center"/>
          </w:tcPr>
          <w:p>
            <w:pPr>
              <w:pStyle w:val="TableContents"/>
              <w:bidi w:val="0"/>
              <w:spacing w:before="0" w:after="283"/>
              <w:jc w:val="left"/>
              <w:rPr>
                <w:sz w:val="4"/>
                <w:szCs w:val="4"/>
              </w:rPr>
            </w:pPr>
            <w:r>
              <w:rPr>
                <w:sz w:val="4"/>
                <w:szCs w:val="4"/>
              </w:rPr>
            </w:r>
          </w:p>
        </w:tc>
        <w:tc>
          <w:tcPr>
            <w:tcW w:w="860"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Symbol(s)</w:t>
            </w:r>
          </w:p>
        </w:tc>
        <w:tc>
          <w:tcPr>
            <w:tcW w:w="23" w:type="dxa"/>
            <w:tcBorders/>
            <w:tcMar>
              <w:bottom w:w="0" w:type="dxa"/>
            </w:tcMar>
            <w:vAlign w:val="center"/>
          </w:tcPr>
          <w:p>
            <w:pPr>
              <w:pStyle w:val="TableContents"/>
              <w:bidi w:val="0"/>
              <w:spacing w:before="0" w:after="283"/>
              <w:jc w:val="left"/>
              <w:rPr>
                <w:sz w:val="4"/>
                <w:szCs w:val="4"/>
              </w:rPr>
            </w:pPr>
            <w:r>
              <w:rPr>
                <w:sz w:val="4"/>
                <w:szCs w:val="4"/>
              </w:rPr>
            </w:r>
          </w:p>
        </w:tc>
        <w:tc>
          <w:tcPr>
            <w:tcW w:w="3710" w:type="dxa"/>
            <w:tcBorders>
              <w:bottom w:val="single" w:sz="12" w:space="0" w:color="000000"/>
            </w:tcBorders>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4280"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sz w:val="4"/>
                <w:szCs w:val="4"/>
              </w:rPr>
            </w:pPr>
            <w:r>
              <w:rPr>
                <w:sz w:val="4"/>
                <w:szCs w:val="4"/>
              </w:rPr>
            </w:r>
          </w:p>
        </w:tc>
        <w:tc>
          <w:tcPr>
            <w:tcW w:w="860" w:type="dxa"/>
            <w:tcBorders/>
            <w:tcMar>
              <w:bottom w:w="0" w:type="dxa"/>
            </w:tcMar>
            <w:vAlign w:val="center"/>
          </w:tcPr>
          <w:p>
            <w:pPr>
              <w:pStyle w:val="TableContents"/>
              <w:bidi w:val="0"/>
              <w:spacing w:before="0" w:after="283"/>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sz w:val="4"/>
                <w:szCs w:val="4"/>
              </w:rPr>
            </w:pPr>
            <w:r>
              <w:rPr>
                <w:sz w:val="4"/>
                <w:szCs w:val="4"/>
              </w:rPr>
            </w:r>
          </w:p>
        </w:tc>
        <w:tc>
          <w:tcPr>
            <w:tcW w:w="3710"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4280" w:type="dxa"/>
            <w:tcBorders/>
            <w:shd w:fill="CCEEFF" w:val="clear"/>
            <w:tcMar>
              <w:bottom w:w="0" w:type="dxa"/>
            </w:tcMar>
            <w:vAlign w:val="center"/>
          </w:tcPr>
          <w:p>
            <w:pPr>
              <w:pStyle w:val="TableContents"/>
              <w:pBdr/>
              <w:bidi w:val="0"/>
              <w:spacing w:before="0" w:after="0"/>
              <w:jc w:val="center"/>
              <w:rPr>
                <w:rFonts w:ascii="Times New Roman;Times;Serif" w:hAnsi="Times New Roman;Times;Serif"/>
                <w:b w:val="false"/>
                <w:i w:val="false"/>
                <w:caps w:val="false"/>
                <w:smallCaps w:val="false"/>
                <w:sz w:val="20"/>
              </w:rPr>
            </w:pPr>
            <w:bookmarkStart w:id="18" w:name="xdx_904_edei--Security12bTitle_c20260728"/>
            <w:bookmarkEnd w:id="18"/>
            <w:r>
              <w:rPr>
                <w:rFonts w:ascii="Times New Roman;Times;Serif" w:hAnsi="Times New Roman;Times;Serif"/>
                <w:b w:val="false"/>
                <w:i w:val="false"/>
                <w:caps w:val="false"/>
                <w:smallCaps w:val="false"/>
                <w:sz w:val="20"/>
              </w:rPr>
              <w:t>Class B Common Stock, par value $0.0001 per share</w:t>
            </w:r>
          </w:p>
        </w:tc>
        <w:tc>
          <w:tcPr>
            <w:tcW w:w="23"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860" w:type="dxa"/>
            <w:tcBorders/>
            <w:shd w:fill="CCEEFF" w:val="clear"/>
            <w:tcMar>
              <w:bottom w:w="0" w:type="dxa"/>
            </w:tcMar>
            <w:vAlign w:val="center"/>
          </w:tcPr>
          <w:p>
            <w:pPr>
              <w:pStyle w:val="TableContents"/>
              <w:pBdr/>
              <w:bidi w:val="0"/>
              <w:spacing w:before="0" w:after="0"/>
              <w:ind w:left="0" w:right="0" w:hanging="0"/>
              <w:jc w:val="center"/>
              <w:rPr>
                <w:rFonts w:ascii="Times New Roman;Times;Serif" w:hAnsi="Times New Roman;Times;Serif"/>
                <w:b w:val="false"/>
                <w:i w:val="false"/>
                <w:caps w:val="false"/>
                <w:smallCaps w:val="false"/>
                <w:sz w:val="20"/>
              </w:rPr>
            </w:pPr>
            <w:bookmarkStart w:id="19" w:name="xdx_90C_edei--TradingSymbol_c20260728__2"/>
            <w:bookmarkEnd w:id="19"/>
            <w:r>
              <w:rPr>
                <w:rFonts w:ascii="Times New Roman;Times;Serif" w:hAnsi="Times New Roman;Times;Serif"/>
                <w:b w:val="false"/>
                <w:i w:val="false"/>
                <w:caps w:val="false"/>
                <w:smallCaps w:val="false"/>
                <w:sz w:val="20"/>
              </w:rPr>
              <w:t>RR</w:t>
            </w:r>
          </w:p>
        </w:tc>
        <w:tc>
          <w:tcPr>
            <w:tcW w:w="23"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3710" w:type="dxa"/>
            <w:tcBorders/>
            <w:shd w:fill="CCEEFF" w:val="clear"/>
            <w:tcMar>
              <w:bottom w:w="0" w:type="dxa"/>
            </w:tcMar>
            <w:vAlign w:val="center"/>
          </w:tcPr>
          <w:p>
            <w:pPr>
              <w:pStyle w:val="TableContents"/>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0" w:name="xdx_908_edei--SecurityExchangeName_c2026"/>
            <w:bookmarkEnd w:id="20"/>
            <w:r>
              <w:rPr>
                <w:rFonts w:ascii="Times New Roman;Times;Serif" w:hAnsi="Times New Roman;Times;Serif"/>
                <w:b w:val="false"/>
                <w:i w:val="false"/>
                <w:caps w:val="false"/>
                <w:smallCaps w:val="false"/>
                <w:sz w:val="20"/>
              </w:rPr>
              <w:t>Nasdaq Stock Market LLC</w:t>
            </w:r>
          </w:p>
        </w:tc>
      </w:tr>
      <w:tr>
        <w:trPr/>
        <w:tc>
          <w:tcPr>
            <w:tcW w:w="428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23"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86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23"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371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1" w:name="xdx_904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E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left"/>
        <w:rPr>
          <w:bdr w:val="single" w:sz="8" w:space="1" w:color="000000"/>
        </w:rPr>
      </w:pPr>
      <w:r>
        <w:rPr>
          <w:bdr w:val="single" w:sz="8" w:space="1" w:color="00000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reported, on May 22, 2026, Richtech Robotics Inc., a Nevada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received a notice (the “</w:t>
      </w:r>
      <w:r>
        <w:rPr>
          <w:rFonts w:ascii="Times New Roman;Times;Serif" w:hAnsi="Times New Roman;Times;Serif"/>
          <w:b/>
          <w:i w:val="false"/>
          <w:caps w:val="false"/>
          <w:smallCaps w:val="false"/>
          <w:sz w:val="20"/>
        </w:rPr>
        <w:t>Notice</w:t>
      </w:r>
      <w:r>
        <w:rPr>
          <w:rFonts w:ascii="Times New Roman;Times;Serif" w:hAnsi="Times New Roman;Times;Serif"/>
          <w:b w:val="false"/>
          <w:i w:val="false"/>
          <w:caps w:val="false"/>
          <w:smallCaps w:val="false"/>
          <w:sz w:val="20"/>
        </w:rPr>
        <w:t>”) from the Listing Qualifications Department of The Nasdaq Stock Market LLC (“</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stating that the Company is not in compliance with Nasdaq Listing Rule 5250(c)(1) (the “</w:t>
      </w:r>
      <w:r>
        <w:rPr>
          <w:rFonts w:ascii="Times New Roman;Times;Serif" w:hAnsi="Times New Roman;Times;Serif"/>
          <w:b/>
          <w:i w:val="false"/>
          <w:caps w:val="false"/>
          <w:smallCaps w:val="false"/>
          <w:sz w:val="20"/>
        </w:rPr>
        <w:t>Rule</w:t>
      </w:r>
      <w:r>
        <w:rPr>
          <w:rFonts w:ascii="Times New Roman;Times;Serif" w:hAnsi="Times New Roman;Times;Serif"/>
          <w:b w:val="false"/>
          <w:i w:val="false"/>
          <w:caps w:val="false"/>
          <w:smallCaps w:val="false"/>
          <w:sz w:val="20"/>
        </w:rPr>
        <w:t>”), because it has not timely filed its Quarterly Report on Form 10-Q for the period ended March 31, 2026 (the “</w:t>
      </w:r>
      <w:r>
        <w:rPr>
          <w:rFonts w:ascii="Times New Roman;Times;Serif" w:hAnsi="Times New Roman;Times;Serif"/>
          <w:b/>
          <w:i w:val="false"/>
          <w:caps w:val="false"/>
          <w:smallCaps w:val="false"/>
          <w:sz w:val="20"/>
        </w:rPr>
        <w:t>Form 10-Q</w:t>
      </w:r>
      <w:r>
        <w:rPr>
          <w:rFonts w:ascii="Times New Roman;Times;Serif" w:hAnsi="Times New Roman;Times;Serif"/>
          <w:b w:val="false"/>
          <w:i w:val="false"/>
          <w:caps w:val="false"/>
          <w:smallCaps w:val="false"/>
          <w:sz w:val="20"/>
        </w:rPr>
        <w:t>”) with the U.S.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The Rule requires listed companies to timely file all required periodic financial reports with the SEC. The Company is working diligently to finalize the financial statements and to file the Form 10-Q as soon as practicable.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20, 2026, the Company submitted to Nasdaq a plan to regain compliance with the Rule. If Nasdaq accepts the Company’s plan, then Nasdaq may grant an exception of up to 180 calendar days from the due date of the Form 10-Q, or until November 16, 2026, to regain compliance. However, there can be no assurance that Nasdaq will accept the Company’s plan to regain compliance or that the Company will be able to regain compliance within any extension period granted by Nasdaq. If Nasdaq does not accept the Company’s plan, then the Company will have the opportunity to appeal that decision to a Nasdaq hearings panel.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6745" w:type="dxa"/>
        <w:jc w:val="left"/>
        <w:tblInd w:w="0" w:type="dxa"/>
        <w:tblLayout w:type="fixed"/>
        <w:tblCellMar>
          <w:top w:w="0" w:type="dxa"/>
          <w:left w:w="0" w:type="dxa"/>
          <w:bottom w:w="28" w:type="dxa"/>
          <w:right w:w="0" w:type="dxa"/>
        </w:tblCellMar>
      </w:tblPr>
      <w:tblGrid>
        <w:gridCol w:w="995"/>
        <w:gridCol w:w="60"/>
        <w:gridCol w:w="5690"/>
      </w:tblGrid>
      <w:tr>
        <w:trPr/>
        <w:tc>
          <w:tcPr>
            <w:tcW w:w="995" w:type="dxa"/>
            <w:tcBorders>
              <w:bottom w:val="single" w:sz="12" w:space="0" w:color="000000"/>
            </w:tcBorders>
            <w:vAlign w:val="center"/>
          </w:tcPr>
          <w:p>
            <w:pPr>
              <w:pStyle w:val="TableContents"/>
              <w:bidi w:val="0"/>
              <w:spacing w:before="0" w:after="283"/>
              <w:jc w:val="both"/>
              <w:rPr>
                <w:b/>
                <w:sz w:val="20"/>
              </w:rPr>
            </w:pPr>
            <w:r>
              <w:rPr>
                <w:b/>
                <w:sz w:val="20"/>
              </w:rPr>
              <w:t>Exhibit No.</w:t>
            </w:r>
          </w:p>
        </w:tc>
        <w:tc>
          <w:tcPr>
            <w:tcW w:w="60" w:type="dxa"/>
            <w:tcBorders/>
            <w:tcMar>
              <w:bottom w:w="0" w:type="dxa"/>
            </w:tcMar>
            <w:vAlign w:val="center"/>
          </w:tcPr>
          <w:p>
            <w:pPr>
              <w:pStyle w:val="TableContents"/>
              <w:bidi w:val="0"/>
              <w:spacing w:before="0" w:after="283"/>
              <w:jc w:val="both"/>
              <w:rPr/>
            </w:pPr>
            <w:r>
              <w:rPr/>
              <w:t> </w:t>
            </w:r>
          </w:p>
        </w:tc>
        <w:tc>
          <w:tcPr>
            <w:tcW w:w="5690" w:type="dxa"/>
            <w:tcBorders>
              <w:bottom w:val="single" w:sz="12" w:space="0" w:color="000000"/>
            </w:tcBorders>
            <w:vAlign w:val="center"/>
          </w:tcPr>
          <w:p>
            <w:pPr>
              <w:pStyle w:val="TableContents"/>
              <w:bidi w:val="0"/>
              <w:spacing w:before="0" w:after="283"/>
              <w:jc w:val="both"/>
              <w:rPr>
                <w:b/>
                <w:sz w:val="20"/>
              </w:rPr>
            </w:pPr>
            <w:r>
              <w:rPr>
                <w:b/>
                <w:sz w:val="20"/>
              </w:rPr>
              <w:t>Document</w:t>
            </w:r>
          </w:p>
        </w:tc>
      </w:tr>
      <w:tr>
        <w:trPr/>
        <w:tc>
          <w:tcPr>
            <w:tcW w:w="995" w:type="dxa"/>
            <w:tcBorders/>
            <w:shd w:fill="CCEEFF" w:val="clear"/>
            <w:tcMar>
              <w:bottom w:w="0" w:type="dxa"/>
            </w:tcMar>
            <w:vAlign w:val="center"/>
          </w:tcPr>
          <w:p>
            <w:pPr>
              <w:pStyle w:val="TableContents"/>
              <w:bidi w:val="0"/>
              <w:spacing w:before="0" w:after="283"/>
              <w:jc w:val="both"/>
              <w:rPr>
                <w:sz w:val="20"/>
              </w:rPr>
            </w:pPr>
            <w:r>
              <w:rPr>
                <w:sz w:val="20"/>
              </w:rPr>
              <w:t>104</w:t>
            </w:r>
          </w:p>
        </w:tc>
        <w:tc>
          <w:tcPr>
            <w:tcW w:w="60" w:type="dxa"/>
            <w:tcBorders/>
            <w:shd w:fill="CCEEFF" w:val="clear"/>
            <w:tcMar>
              <w:bottom w:w="0" w:type="dxa"/>
            </w:tcMar>
            <w:vAlign w:val="center"/>
          </w:tcPr>
          <w:p>
            <w:pPr>
              <w:pStyle w:val="TableContents"/>
              <w:bidi w:val="0"/>
              <w:spacing w:before="0" w:after="283"/>
              <w:jc w:val="both"/>
              <w:rPr/>
            </w:pPr>
            <w:r>
              <w:rPr/>
              <w:t> </w:t>
            </w:r>
          </w:p>
        </w:tc>
        <w:tc>
          <w:tcPr>
            <w:tcW w:w="5690" w:type="dxa"/>
            <w:tcBorders/>
            <w:shd w:fill="CCEEFF" w:val="clear"/>
            <w:tcMar>
              <w:bottom w:w="0" w:type="dxa"/>
            </w:tcMar>
            <w:vAlign w:val="center"/>
          </w:tcPr>
          <w:p>
            <w:pPr>
              <w:pStyle w:val="TableContents"/>
              <w:bidi w:val="0"/>
              <w:spacing w:before="0" w:after="283"/>
              <w:jc w:val="both"/>
              <w:rPr>
                <w:sz w:val="20"/>
              </w:rPr>
            </w:pPr>
            <w:r>
              <w:rPr>
                <w:sz w:val="20"/>
              </w:rPr>
              <w:t>Cover Page Interactive Data File, formatted in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5735" w:type="dxa"/>
        <w:jc w:val="left"/>
        <w:tblInd w:w="0" w:type="dxa"/>
        <w:tblLayout w:type="fixed"/>
        <w:tblCellMar>
          <w:top w:w="0" w:type="dxa"/>
          <w:left w:w="0" w:type="dxa"/>
          <w:bottom w:w="0" w:type="dxa"/>
          <w:right w:w="0" w:type="dxa"/>
        </w:tblCellMar>
      </w:tblPr>
      <w:tblGrid>
        <w:gridCol w:w="1730"/>
        <w:gridCol w:w="365"/>
        <w:gridCol w:w="635"/>
        <w:gridCol w:w="3005"/>
      </w:tblGrid>
      <w:tr>
        <w:trPr/>
        <w:tc>
          <w:tcPr>
            <w:tcW w:w="1730" w:type="dxa"/>
            <w:tcBorders/>
            <w:vAlign w:val="center"/>
          </w:tcPr>
          <w:p>
            <w:pPr>
              <w:pStyle w:val="TableContents"/>
              <w:bidi w:val="0"/>
              <w:spacing w:before="0" w:after="283"/>
              <w:jc w:val="left"/>
              <w:rPr/>
            </w:pPr>
            <w:r>
              <w:rPr/>
              <w:t> </w:t>
            </w:r>
          </w:p>
        </w:tc>
        <w:tc>
          <w:tcPr>
            <w:tcW w:w="4005" w:type="dxa"/>
            <w:gridSpan w:val="3"/>
            <w:tcBorders/>
            <w:vAlign w:val="center"/>
          </w:tcPr>
          <w:p>
            <w:pPr>
              <w:pStyle w:val="TableContents"/>
              <w:bidi w:val="0"/>
              <w:spacing w:before="0" w:after="283"/>
              <w:jc w:val="left"/>
              <w:rPr>
                <w:b/>
                <w:sz w:val="20"/>
              </w:rPr>
            </w:pPr>
            <w:r>
              <w:rPr>
                <w:b/>
                <w:sz w:val="20"/>
              </w:rPr>
              <w:t>Richtech Robotics Inc.</w:t>
            </w:r>
          </w:p>
        </w:tc>
      </w:tr>
      <w:tr>
        <w:trPr/>
        <w:tc>
          <w:tcPr>
            <w:tcW w:w="1730" w:type="dxa"/>
            <w:tcBorders/>
            <w:vAlign w:val="center"/>
          </w:tcPr>
          <w:p>
            <w:pPr>
              <w:pStyle w:val="TableContents"/>
              <w:bidi w:val="0"/>
              <w:spacing w:before="0" w:after="283"/>
              <w:jc w:val="left"/>
              <w:rPr/>
            </w:pPr>
            <w:r>
              <w:rPr/>
              <w:t> </w:t>
            </w:r>
          </w:p>
        </w:tc>
        <w:tc>
          <w:tcPr>
            <w:tcW w:w="4005" w:type="dxa"/>
            <w:gridSpan w:val="3"/>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40" w:type="dxa"/>
            <w:gridSpan w:val="2"/>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20"/>
              </w:rPr>
            </w:pPr>
            <w:r>
              <w:rPr>
                <w:sz w:val="20"/>
              </w:rPr>
              <w:t xml:space="preserve">By: </w:t>
            </w:r>
          </w:p>
        </w:tc>
        <w:tc>
          <w:tcPr>
            <w:tcW w:w="3640" w:type="dxa"/>
            <w:gridSpan w:val="2"/>
            <w:tcBorders>
              <w:bottom w:val="single" w:sz="12" w:space="0" w:color="000000"/>
            </w:tcBorders>
            <w:tcMar>
              <w:bottom w:w="28" w:type="dxa"/>
            </w:tcMar>
            <w:vAlign w:val="center"/>
          </w:tcPr>
          <w:p>
            <w:pPr>
              <w:pStyle w:val="TableContents"/>
              <w:bidi w:val="0"/>
              <w:spacing w:before="0" w:after="283"/>
              <w:jc w:val="left"/>
              <w:rPr>
                <w:sz w:val="20"/>
              </w:rPr>
            </w:pPr>
            <w:r>
              <w:rPr>
                <w:sz w:val="20"/>
              </w:rPr>
              <w:t>/s/ Zhenwu (Wayne) Huang</w:t>
            </w:r>
          </w:p>
        </w:tc>
      </w:tr>
      <w:tr>
        <w:trPr/>
        <w:tc>
          <w:tcPr>
            <w:tcW w:w="173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 xml:space="preserve">Name:  </w:t>
            </w:r>
          </w:p>
        </w:tc>
        <w:tc>
          <w:tcPr>
            <w:tcW w:w="3005" w:type="dxa"/>
            <w:tcBorders/>
            <w:vAlign w:val="center"/>
          </w:tcPr>
          <w:p>
            <w:pPr>
              <w:pStyle w:val="TableContents"/>
              <w:bidi w:val="0"/>
              <w:spacing w:before="0" w:after="283"/>
              <w:jc w:val="left"/>
              <w:rPr>
                <w:sz w:val="20"/>
              </w:rPr>
            </w:pPr>
            <w:r>
              <w:rPr>
                <w:sz w:val="20"/>
              </w:rPr>
              <w:t>Zhenwu (Wayne) Huang</w:t>
            </w:r>
          </w:p>
        </w:tc>
      </w:tr>
      <w:tr>
        <w:trPr/>
        <w:tc>
          <w:tcPr>
            <w:tcW w:w="173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Title:</w:t>
            </w:r>
          </w:p>
        </w:tc>
        <w:tc>
          <w:tcPr>
            <w:tcW w:w="3005" w:type="dxa"/>
            <w:tcBorders/>
            <w:vAlign w:val="center"/>
          </w:tcPr>
          <w:p>
            <w:pPr>
              <w:pStyle w:val="TableContents"/>
              <w:bidi w:val="0"/>
              <w:spacing w:before="0" w:after="283"/>
              <w:jc w:val="left"/>
              <w:rPr>
                <w:sz w:val="20"/>
              </w:rPr>
            </w:pPr>
            <w:r>
              <w:rPr>
                <w:sz w:val="20"/>
              </w:rPr>
              <w:t>Chief Executive Officer and Director</w:t>
            </w:r>
          </w:p>
        </w:tc>
      </w:tr>
      <w:tr>
        <w:trPr/>
        <w:tc>
          <w:tcPr>
            <w:tcW w:w="173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40" w:type="dxa"/>
            <w:gridSpan w:val="2"/>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sz w:val="20"/>
              </w:rPr>
            </w:pPr>
            <w:r>
              <w:rPr>
                <w:sz w:val="20"/>
              </w:rPr>
              <w:t>Dated: July 28, 2026</w:t>
            </w:r>
          </w:p>
        </w:tc>
        <w:tc>
          <w:tcPr>
            <w:tcW w:w="365" w:type="dxa"/>
            <w:tcBorders/>
            <w:vAlign w:val="center"/>
          </w:tcPr>
          <w:p>
            <w:pPr>
              <w:pStyle w:val="TableContents"/>
              <w:bidi w:val="0"/>
              <w:spacing w:before="0" w:after="283"/>
              <w:jc w:val="left"/>
              <w:rPr/>
            </w:pPr>
            <w:r>
              <w:rPr/>
              <w:t> </w:t>
            </w:r>
          </w:p>
        </w:tc>
        <w:tc>
          <w:tcPr>
            <w:tcW w:w="3640" w:type="dxa"/>
            <w:gridSpan w:val="2"/>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p>
      <w:pPr>
        <w:pStyle w:val="TextBody"/>
        <w:bidi w:val="0"/>
        <w:spacing w:before="0" w:after="283"/>
        <w:jc w:val="left"/>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609</Words>
  <Characters>3236</Characters>
  <CharactersWithSpaces>3844</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