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Casella Matthew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2975 LINCOLN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RICHTECH ROBOTICS INC.</w:t>
              </w:r>
            </w:hyperlink>
            <w:r>
              <w:rPr/>
              <w:t xml:space="preserve"> [ </w:t>
            </w:r>
            <w:r>
              <w:rPr>
                <w:rFonts w:ascii="Times;serif" w:hAnsi="Times;serif"/>
                <w:color w:val="0000FF"/>
                <w:sz w:val="24"/>
                <w:shd w:fill="FFFFFF" w:val="clear"/>
              </w:rPr>
              <w:t>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60,000 restricted stock awards ("RSAs") granted by the Board of Directors of the Issuer to the Reporting Person on December 4, 2025. The RSAs were fully vested on the date of granting.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Casella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0264" TargetMode="External"/><Relationship Id="rId5" Type="http://schemas.openxmlformats.org/officeDocument/2006/relationships/hyperlink" Target="http://www.sec.gov/cgi-bin/browse-edgar?action=getcompany&amp;CIK=00019636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3191</Characters>
  <CharactersWithSpaces>3726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