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76202-10q_richtech.htm"/>
      <w:bookmarkStart w:id="1" w:name="ksea027620210q_richtech"/>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December 31,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001-41866</w:t>
      </w:r>
    </w:p>
    <w:p>
      <w:pPr>
        <w:pStyle w:val="TextBody"/>
        <w:bidi w:val="0"/>
        <w:spacing w:before="0" w:after="0"/>
        <w:ind w:left="0" w:right="0" w:hanging="0"/>
        <w:jc w:val="center"/>
        <w:rPr>
          <w:caps w:val="false"/>
          <w:smallCaps w:val="false"/>
        </w:rPr>
      </w:pPr>
      <w:r>
        <w:rPr>
          <w:caps w:val="false"/>
          <w:smallCaps w:val="false"/>
        </w:rPr>
        <w:t> </w:t>
      </w:r>
    </w:p>
    <w:tbl>
      <w:tblPr>
        <w:tblW w:w="4235" w:type="dxa"/>
        <w:jc w:val="left"/>
        <w:tblInd w:w="0" w:type="dxa"/>
        <w:tblLayout w:type="fixed"/>
        <w:tblCellMar>
          <w:top w:w="0" w:type="dxa"/>
          <w:left w:w="0" w:type="dxa"/>
          <w:bottom w:w="28" w:type="dxa"/>
          <w:right w:w="0" w:type="dxa"/>
        </w:tblCellMar>
      </w:tblPr>
      <w:tblGrid>
        <w:gridCol w:w="4235"/>
      </w:tblGrid>
      <w:tr>
        <w:trPr/>
        <w:tc>
          <w:tcPr>
            <w:tcW w:w="4235" w:type="dxa"/>
            <w:tcBorders>
              <w:bottom w:val="single" w:sz="12" w:space="0" w:color="000000"/>
            </w:tcBorders>
            <w:vAlign w:val="center"/>
          </w:tcPr>
          <w:p>
            <w:pPr>
              <w:pStyle w:val="TableContents"/>
              <w:bidi w:val="0"/>
              <w:spacing w:before="0" w:after="283"/>
              <w:jc w:val="center"/>
              <w:rPr>
                <w:b/>
                <w:sz w:val="20"/>
              </w:rPr>
            </w:pPr>
            <w:r>
              <w:rPr>
                <w:b/>
                <w:sz w:val="20"/>
              </w:rPr>
              <w:t>RICHTECH ROBOTICS INC.</w:t>
            </w:r>
          </w:p>
        </w:tc>
      </w:tr>
      <w:tr>
        <w:trPr/>
        <w:tc>
          <w:tcPr>
            <w:tcW w:w="4235"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2525"/>
        <w:gridCol w:w="90"/>
        <w:gridCol w:w="1640"/>
      </w:tblGrid>
      <w:tr>
        <w:trPr/>
        <w:tc>
          <w:tcPr>
            <w:tcW w:w="2525" w:type="dxa"/>
            <w:tcBorders>
              <w:bottom w:val="single" w:sz="12" w:space="0" w:color="000000"/>
            </w:tcBorders>
            <w:vAlign w:val="center"/>
          </w:tcPr>
          <w:p>
            <w:pPr>
              <w:pStyle w:val="TableContents"/>
              <w:bidi w:val="0"/>
              <w:spacing w:before="0" w:after="283"/>
              <w:jc w:val="center"/>
              <w:rPr>
                <w:b/>
                <w:sz w:val="20"/>
              </w:rPr>
            </w:pPr>
            <w:r>
              <w:rPr>
                <w:b/>
                <w:sz w:val="20"/>
              </w:rPr>
              <w:t>Nevada</w:t>
            </w:r>
          </w:p>
        </w:tc>
        <w:tc>
          <w:tcPr>
            <w:tcW w:w="90" w:type="dxa"/>
            <w:tcBorders/>
            <w:tcMar>
              <w:bottom w:w="0" w:type="dxa"/>
            </w:tcMar>
            <w:vAlign w:val="center"/>
          </w:tcPr>
          <w:p>
            <w:pPr>
              <w:pStyle w:val="TableContents"/>
              <w:bidi w:val="0"/>
              <w:spacing w:before="0" w:after="283"/>
              <w:jc w:val="center"/>
              <w:rPr/>
            </w:pPr>
            <w:r>
              <w:rPr/>
              <w:t> </w:t>
            </w:r>
          </w:p>
        </w:tc>
        <w:tc>
          <w:tcPr>
            <w:tcW w:w="1640" w:type="dxa"/>
            <w:tcBorders>
              <w:bottom w:val="single" w:sz="12" w:space="0" w:color="000000"/>
            </w:tcBorders>
            <w:vAlign w:val="center"/>
          </w:tcPr>
          <w:p>
            <w:pPr>
              <w:pStyle w:val="TableContents"/>
              <w:bidi w:val="0"/>
              <w:spacing w:before="0" w:after="283"/>
              <w:jc w:val="center"/>
              <w:rPr>
                <w:b/>
                <w:sz w:val="20"/>
              </w:rPr>
            </w:pPr>
            <w:r>
              <w:rPr>
                <w:b/>
                <w:sz w:val="20"/>
              </w:rPr>
              <w:t>88-2870106</w:t>
            </w:r>
          </w:p>
        </w:tc>
      </w:tr>
      <w:tr>
        <w:trPr/>
        <w:tc>
          <w:tcPr>
            <w:tcW w:w="2525"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90" w:type="dxa"/>
            <w:tcBorders/>
            <w:tcMar>
              <w:bottom w:w="0" w:type="dxa"/>
            </w:tcMar>
            <w:vAlign w:val="center"/>
          </w:tcPr>
          <w:p>
            <w:pPr>
              <w:pStyle w:val="TableContents"/>
              <w:bidi w:val="0"/>
              <w:spacing w:before="0" w:after="283"/>
              <w:jc w:val="center"/>
              <w:rPr/>
            </w:pPr>
            <w:r>
              <w:rPr/>
              <w:t> </w:t>
            </w:r>
          </w:p>
        </w:tc>
        <w:tc>
          <w:tcPr>
            <w:tcW w:w="1640" w:type="dxa"/>
            <w:tcBorders/>
            <w:tcMar>
              <w:bottom w:w="0" w:type="dxa"/>
            </w:tcMar>
            <w:vAlign w:val="center"/>
          </w:tcPr>
          <w:p>
            <w:pPr>
              <w:pStyle w:val="TableContents"/>
              <w:bidi w:val="0"/>
              <w:spacing w:before="0" w:after="283"/>
              <w:jc w:val="center"/>
              <w:rPr>
                <w:sz w:val="20"/>
              </w:rPr>
            </w:pPr>
            <w:r>
              <w:rPr>
                <w:sz w:val="20"/>
              </w:rPr>
              <w:t>(I.R.S. Employer</w:t>
              <w:br/>
              <w:t xml:space="preserve">Identification No.) </w:t>
            </w:r>
          </w:p>
        </w:tc>
      </w:tr>
    </w:tbl>
    <w:p>
      <w:pPr>
        <w:pStyle w:val="TextBody"/>
        <w:bidi w:val="0"/>
        <w:spacing w:before="0" w:after="0"/>
        <w:ind w:left="0" w:right="0" w:hanging="0"/>
        <w:jc w:val="center"/>
        <w:rPr>
          <w:caps w:val="false"/>
          <w:smallCaps w:val="false"/>
        </w:rPr>
      </w:pPr>
      <w:r>
        <w:rPr>
          <w:caps w:val="false"/>
          <w:smallCaps w:val="false"/>
        </w:rPr>
        <w:t> </w:t>
      </w:r>
    </w:p>
    <w:tbl>
      <w:tblPr>
        <w:tblW w:w="1910" w:type="dxa"/>
        <w:jc w:val="left"/>
        <w:tblInd w:w="0" w:type="dxa"/>
        <w:tblLayout w:type="fixed"/>
        <w:tblCellMar>
          <w:top w:w="0" w:type="dxa"/>
          <w:left w:w="0" w:type="dxa"/>
          <w:bottom w:w="28" w:type="dxa"/>
          <w:right w:w="0" w:type="dxa"/>
        </w:tblCellMar>
      </w:tblPr>
      <w:tblGrid>
        <w:gridCol w:w="1910"/>
      </w:tblGrid>
      <w:tr>
        <w:trPr/>
        <w:tc>
          <w:tcPr>
            <w:tcW w:w="191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2975 Lincoln Rd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 Vegas, NV 89115</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tbl>
      <w:tblPr>
        <w:tblW w:w="4415" w:type="dxa"/>
        <w:jc w:val="left"/>
        <w:tblInd w:w="0" w:type="dxa"/>
        <w:tblLayout w:type="fixed"/>
        <w:tblCellMar>
          <w:top w:w="0" w:type="dxa"/>
          <w:left w:w="0" w:type="dxa"/>
          <w:bottom w:w="28" w:type="dxa"/>
          <w:right w:w="0" w:type="dxa"/>
        </w:tblCellMar>
      </w:tblPr>
      <w:tblGrid>
        <w:gridCol w:w="4415"/>
      </w:tblGrid>
      <w:tr>
        <w:trPr/>
        <w:tc>
          <w:tcPr>
            <w:tcW w:w="4415" w:type="dxa"/>
            <w:tcBorders>
              <w:bottom w:val="single" w:sz="12" w:space="0" w:color="000000"/>
            </w:tcBorders>
            <w:vAlign w:val="center"/>
          </w:tcPr>
          <w:p>
            <w:pPr>
              <w:pStyle w:val="TableContents"/>
              <w:bidi w:val="0"/>
              <w:spacing w:before="0" w:after="283"/>
              <w:jc w:val="center"/>
              <w:rPr>
                <w:b/>
                <w:sz w:val="20"/>
              </w:rPr>
            </w:pPr>
            <w:r>
              <w:rPr>
                <w:b/>
                <w:sz w:val="20"/>
              </w:rPr>
              <w:t>(866) 236-3835</w:t>
            </w:r>
          </w:p>
        </w:tc>
      </w:tr>
      <w:tr>
        <w:trPr/>
        <w:tc>
          <w:tcPr>
            <w:tcW w:w="4415" w:type="dxa"/>
            <w:tcBorders/>
            <w:tcMar>
              <w:bottom w:w="0" w:type="dxa"/>
            </w:tcMar>
            <w:vAlign w:val="center"/>
          </w:tcPr>
          <w:p>
            <w:pPr>
              <w:pStyle w:val="TableContents"/>
              <w:bidi w:val="0"/>
              <w:spacing w:before="0" w:after="283"/>
              <w:jc w:val="center"/>
              <w:rPr>
                <w:sz w:val="20"/>
              </w:rPr>
            </w:pPr>
            <w:r>
              <w:rPr>
                <w:sz w:val="20"/>
              </w:rPr>
              <w:t>(Registrant’s telephone number, including area code)</w:t>
            </w:r>
          </w:p>
        </w:tc>
      </w:tr>
    </w:tbl>
    <w:p>
      <w:pPr>
        <w:pStyle w:val="TextBody"/>
        <w:bidi w:val="0"/>
        <w:spacing w:before="0" w:after="0"/>
        <w:ind w:left="0" w:right="0" w:hanging="0"/>
        <w:jc w:val="center"/>
        <w:rPr>
          <w:caps w:val="false"/>
          <w:smallCaps w:val="false"/>
        </w:rPr>
      </w:pPr>
      <w:r>
        <w:rPr>
          <w:caps w:val="false"/>
          <w:smallCaps w:val="false"/>
        </w:rPr>
        <w:t> </w:t>
      </w:r>
    </w:p>
    <w:tbl>
      <w:tblPr>
        <w:tblW w:w="6590" w:type="dxa"/>
        <w:jc w:val="left"/>
        <w:tblInd w:w="0" w:type="dxa"/>
        <w:tblLayout w:type="fixed"/>
        <w:tblCellMar>
          <w:top w:w="0" w:type="dxa"/>
          <w:left w:w="0" w:type="dxa"/>
          <w:bottom w:w="28" w:type="dxa"/>
          <w:right w:w="0" w:type="dxa"/>
        </w:tblCellMar>
      </w:tblPr>
      <w:tblGrid>
        <w:gridCol w:w="6590"/>
      </w:tblGrid>
      <w:tr>
        <w:trPr/>
        <w:tc>
          <w:tcPr>
            <w:tcW w:w="659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4175 Cameron St Ste 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 Vegas, NV 89103</w:t>
            </w:r>
          </w:p>
        </w:tc>
      </w:tr>
      <w:tr>
        <w:trPr/>
        <w:tc>
          <w:tcPr>
            <w:tcW w:w="6590" w:type="dxa"/>
            <w:tcBorders/>
            <w:tcMar>
              <w:bottom w:w="0" w:type="dxa"/>
            </w:tcMar>
            <w:vAlign w:val="center"/>
          </w:tcPr>
          <w:p>
            <w:pPr>
              <w:pStyle w:val="TableContents"/>
              <w:bidi w:val="0"/>
              <w:spacing w:before="0" w:after="283"/>
              <w:jc w:val="center"/>
              <w:rPr>
                <w:sz w:val="20"/>
              </w:rPr>
            </w:pPr>
            <w:r>
              <w:rPr>
                <w:sz w:val="20"/>
              </w:rPr>
              <w:t>(Former name, former address and former fiscal year, if changed since last report)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305"/>
        <w:gridCol w:w="90"/>
        <w:gridCol w:w="1698"/>
        <w:gridCol w:w="90"/>
        <w:gridCol w:w="4022"/>
      </w:tblGrid>
      <w:tr>
        <w:trPr/>
        <w:tc>
          <w:tcPr>
            <w:tcW w:w="430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698"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90" w:type="dxa"/>
            <w:tcBorders/>
            <w:tcMar>
              <w:bottom w:w="0" w:type="dxa"/>
            </w:tcMar>
            <w:vAlign w:val="center"/>
          </w:tcPr>
          <w:p>
            <w:pPr>
              <w:pStyle w:val="TableContents"/>
              <w:bidi w:val="0"/>
              <w:spacing w:before="0" w:after="283"/>
              <w:jc w:val="center"/>
              <w:rPr/>
            </w:pPr>
            <w:r>
              <w:rPr/>
              <w:t> </w:t>
            </w:r>
          </w:p>
        </w:tc>
        <w:tc>
          <w:tcPr>
            <w:tcW w:w="4022"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4305" w:type="dxa"/>
            <w:tcBorders/>
            <w:shd w:fill="CCEEFF" w:val="clear"/>
            <w:tcMar>
              <w:bottom w:w="0" w:type="dxa"/>
            </w:tcMar>
            <w:vAlign w:val="center"/>
          </w:tcPr>
          <w:p>
            <w:pPr>
              <w:pStyle w:val="TableContents"/>
              <w:bidi w:val="0"/>
              <w:spacing w:before="0" w:after="283"/>
              <w:jc w:val="center"/>
              <w:rPr>
                <w:sz w:val="20"/>
              </w:rPr>
            </w:pPr>
            <w:r>
              <w:rPr>
                <w:sz w:val="20"/>
              </w:rPr>
              <w:t>Class B Common Stock, par value $0.0001 per share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698" w:type="dxa"/>
            <w:tcBorders/>
            <w:shd w:fill="CCEEFF" w:val="clear"/>
            <w:tcMar>
              <w:bottom w:w="0" w:type="dxa"/>
            </w:tcMar>
            <w:vAlign w:val="center"/>
          </w:tcPr>
          <w:p>
            <w:pPr>
              <w:pStyle w:val="TableContents"/>
              <w:bidi w:val="0"/>
              <w:spacing w:before="0" w:after="283"/>
              <w:jc w:val="center"/>
              <w:rPr>
                <w:sz w:val="20"/>
              </w:rPr>
            </w:pPr>
            <w:r>
              <w:rPr>
                <w:sz w:val="20"/>
              </w:rPr>
              <w:t>RR</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022" w:type="dxa"/>
            <w:tcBorders/>
            <w:shd w:fill="CCEEFF" w:val="clear"/>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275"/>
        <w:gridCol w:w="1850"/>
        <w:gridCol w:w="320"/>
        <w:gridCol w:w="2300"/>
      </w:tblGrid>
      <w:tr>
        <w:trPr/>
        <w:tc>
          <w:tcPr>
            <w:tcW w:w="275" w:type="dxa"/>
            <w:tcBorders/>
            <w:vAlign w:val="center"/>
          </w:tcPr>
          <w:p>
            <w:pPr>
              <w:pStyle w:val="TableContents"/>
              <w:bidi w:val="0"/>
              <w:spacing w:before="0" w:after="283"/>
              <w:jc w:val="left"/>
              <w:rPr/>
            </w:pPr>
            <w:r>
              <w:rPr/>
              <w:t>☐</w:t>
            </w:r>
          </w:p>
        </w:tc>
        <w:tc>
          <w:tcPr>
            <w:tcW w:w="1850" w:type="dxa"/>
            <w:tcBorders/>
            <w:vAlign w:val="center"/>
          </w:tcPr>
          <w:p>
            <w:pPr>
              <w:pStyle w:val="TableContents"/>
              <w:bidi w:val="0"/>
              <w:spacing w:before="0" w:after="283"/>
              <w:jc w:val="left"/>
              <w:rPr>
                <w:sz w:val="20"/>
              </w:rPr>
            </w:pPr>
            <w:r>
              <w:rPr>
                <w:sz w:val="20"/>
              </w:rPr>
              <w:t>Large accelerated filer</w:t>
            </w:r>
          </w:p>
        </w:tc>
        <w:tc>
          <w:tcPr>
            <w:tcW w:w="32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left"/>
              <w:rPr>
                <w:sz w:val="20"/>
              </w:rPr>
            </w:pPr>
            <w:r>
              <w:rPr>
                <w:sz w:val="20"/>
              </w:rPr>
              <w:t>Accelerated filer</w:t>
            </w:r>
          </w:p>
        </w:tc>
      </w:tr>
      <w:tr>
        <w:trPr/>
        <w:tc>
          <w:tcPr>
            <w:tcW w:w="275" w:type="dxa"/>
            <w:tcBorders/>
            <w:vAlign w:val="center"/>
          </w:tcPr>
          <w:p>
            <w:pPr>
              <w:pStyle w:val="TableContents"/>
              <w:bidi w:val="0"/>
              <w:spacing w:before="0" w:after="283"/>
              <w:jc w:val="left"/>
              <w:rPr/>
            </w:pPr>
            <w:r>
              <w:rPr/>
              <w:t>☒</w:t>
            </w:r>
          </w:p>
        </w:tc>
        <w:tc>
          <w:tcPr>
            <w:tcW w:w="1850" w:type="dxa"/>
            <w:tcBorders/>
            <w:vAlign w:val="center"/>
          </w:tcPr>
          <w:p>
            <w:pPr>
              <w:pStyle w:val="TableContents"/>
              <w:bidi w:val="0"/>
              <w:spacing w:before="0" w:after="283"/>
              <w:jc w:val="left"/>
              <w:rPr>
                <w:sz w:val="20"/>
              </w:rPr>
            </w:pPr>
            <w:r>
              <w:rPr>
                <w:sz w:val="20"/>
              </w:rPr>
              <w:t>Non-accelerated filer</w:t>
            </w:r>
          </w:p>
        </w:tc>
        <w:tc>
          <w:tcPr>
            <w:tcW w:w="3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Smaller reporting company</w:t>
            </w:r>
          </w:p>
        </w:tc>
      </w:tr>
      <w:tr>
        <w:trPr/>
        <w:tc>
          <w:tcPr>
            <w:tcW w:w="2125" w:type="dxa"/>
            <w:gridSpan w:val="2"/>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Emerging growth company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11, 2026, there were 39,934,846 shares of our Class A common stock and 183,661,127 shares of our Class B common stock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on 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6"/>
        <w:gridCol w:w="9053"/>
        <w:gridCol w:w="90"/>
        <w:gridCol w:w="336"/>
      </w:tblGrid>
      <w:tr>
        <w:trPr/>
        <w:tc>
          <w:tcPr>
            <w:tcW w:w="9779" w:type="dxa"/>
            <w:gridSpan w:val="2"/>
            <w:tcBorders/>
            <w:shd w:fill="CCEEFF" w:val="clear"/>
            <w:vAlign w:val="center"/>
          </w:tcPr>
          <w:p>
            <w:pPr>
              <w:pStyle w:val="TableContents"/>
              <w:bidi w:val="0"/>
              <w:spacing w:before="0" w:after="283"/>
              <w:jc w:val="left"/>
              <w:rPr/>
            </w:pPr>
            <w:hyperlink w:anchor="k_001">
              <w:r>
                <w:rPr>
                  <w:rStyle w:val="InternetLink"/>
                  <w:rFonts w:ascii="Times New Roman;Times;Serif" w:hAnsi="Times New Roman;Times;Serif"/>
                  <w:sz w:val="20"/>
                </w:rPr>
                <w:t>PART I. FINANCIAL INFORMATION</w:t>
              </w:r>
            </w:hyperlink>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center"/>
              <w:rPr/>
            </w:pPr>
            <w:r>
              <w:rPr/>
              <w:t> </w:t>
            </w:r>
          </w:p>
        </w:tc>
      </w:tr>
      <w:tr>
        <w:trPr/>
        <w:tc>
          <w:tcPr>
            <w:tcW w:w="726"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7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9053" w:type="dxa"/>
            <w:tcBorders/>
            <w:shd w:fill="CCEEFF" w:val="clear"/>
            <w:vAlign w:val="center"/>
          </w:tcPr>
          <w:p>
            <w:pPr>
              <w:pStyle w:val="TableContents"/>
              <w:bidi w:val="0"/>
              <w:spacing w:before="0" w:after="283"/>
              <w:jc w:val="left"/>
              <w:rPr/>
            </w:pPr>
            <w:hyperlink w:anchor="k_002">
              <w:r>
                <w:rPr>
                  <w:rStyle w:val="InternetLink"/>
                  <w:rFonts w:ascii="Times New Roman;Times;Serif" w:hAnsi="Times New Roman;Times;Serif"/>
                  <w:sz w:val="20"/>
                </w:rPr>
                <w:t>Financial Statements</w:t>
              </w:r>
            </w:hyperlink>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center"/>
              <w:rPr/>
            </w:pPr>
            <w:r>
              <w:rPr/>
              <w:t>1</w:t>
            </w:r>
          </w:p>
        </w:tc>
      </w:tr>
      <w:tr>
        <w:trPr/>
        <w:tc>
          <w:tcPr>
            <w:tcW w:w="726"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sz w:val="4"/>
                <w:szCs w:val="4"/>
              </w:rPr>
            </w:pPr>
            <w:r>
              <w:rPr>
                <w:sz w:val="4"/>
                <w:szCs w:val="4"/>
              </w:rPr>
            </w:r>
          </w:p>
        </w:tc>
      </w:tr>
      <w:tr>
        <w:trPr/>
        <w:tc>
          <w:tcPr>
            <w:tcW w:w="726" w:type="dxa"/>
            <w:tcBorders/>
            <w:shd w:fill="CCEEFF" w:val="clear"/>
            <w:vAlign w:val="center"/>
          </w:tcPr>
          <w:p>
            <w:pPr>
              <w:pStyle w:val="TableContents"/>
              <w:bidi w:val="0"/>
              <w:spacing w:before="0" w:after="283"/>
              <w:jc w:val="left"/>
              <w:rPr/>
            </w:pPr>
            <w:r>
              <w:rPr/>
              <w:t> </w:t>
            </w:r>
          </w:p>
        </w:tc>
        <w:tc>
          <w:tcPr>
            <w:tcW w:w="9053" w:type="dxa"/>
            <w:tcBorders/>
            <w:shd w:fill="CCEEFF" w:val="clear"/>
            <w:vAlign w:val="center"/>
          </w:tcPr>
          <w:p>
            <w:pPr>
              <w:pStyle w:val="TableContents"/>
              <w:bidi w:val="0"/>
              <w:spacing w:before="0" w:after="283"/>
              <w:jc w:val="left"/>
              <w:rPr/>
            </w:pPr>
            <w:hyperlink w:anchor="k_003">
              <w:r>
                <w:rPr>
                  <w:rStyle w:val="InternetLink"/>
                  <w:rFonts w:ascii="Times New Roman;Times;Serif" w:hAnsi="Times New Roman;Times;Serif"/>
                  <w:sz w:val="20"/>
                </w:rPr>
                <w:t>Consolidated Balance Sheets as of December 31, 2025 (Unaudited) and September 30, 2025</w:t>
              </w:r>
            </w:hyperlink>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center"/>
              <w:rPr/>
            </w:pPr>
            <w:r>
              <w:rPr/>
              <w:t>1</w:t>
            </w:r>
          </w:p>
        </w:tc>
      </w:tr>
      <w:tr>
        <w:trPr/>
        <w:tc>
          <w:tcPr>
            <w:tcW w:w="726"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726" w:type="dxa"/>
            <w:tcBorders/>
            <w:shd w:fill="CCEEFF" w:val="clear"/>
            <w:vAlign w:val="center"/>
          </w:tcPr>
          <w:p>
            <w:pPr>
              <w:pStyle w:val="TableContents"/>
              <w:bidi w:val="0"/>
              <w:spacing w:before="0" w:after="283"/>
              <w:ind w:left="0" w:right="0" w:hanging="180"/>
              <w:jc w:val="left"/>
              <w:rPr/>
            </w:pPr>
            <w:r>
              <w:rPr/>
              <w:t> </w:t>
            </w:r>
          </w:p>
        </w:tc>
        <w:tc>
          <w:tcPr>
            <w:tcW w:w="9053" w:type="dxa"/>
            <w:tcBorders/>
            <w:shd w:fill="CCEEFF" w:val="clear"/>
            <w:vAlign w:val="center"/>
          </w:tcPr>
          <w:p>
            <w:pPr>
              <w:pStyle w:val="TableContents"/>
              <w:bidi w:val="0"/>
              <w:spacing w:before="0" w:after="283"/>
              <w:jc w:val="left"/>
              <w:rPr/>
            </w:pPr>
            <w:hyperlink w:anchor="k_004">
              <w:r>
                <w:rPr>
                  <w:rStyle w:val="InternetLink"/>
                  <w:rFonts w:ascii="Times New Roman;Times;Serif" w:hAnsi="Times New Roman;Times;Serif"/>
                  <w:sz w:val="20"/>
                </w:rPr>
                <w:t>Consolidated Statements of Operations for the Three Months ended December 31, 2025 and 2024 (Unaudited)</w:t>
              </w:r>
            </w:hyperlink>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center"/>
              <w:rPr/>
            </w:pPr>
            <w:r>
              <w:rPr/>
              <w:t>2</w:t>
            </w:r>
          </w:p>
        </w:tc>
      </w:tr>
      <w:tr>
        <w:trPr/>
        <w:tc>
          <w:tcPr>
            <w:tcW w:w="726"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726" w:type="dxa"/>
            <w:tcBorders/>
            <w:shd w:fill="CCEEFF" w:val="clear"/>
            <w:vAlign w:val="center"/>
          </w:tcPr>
          <w:p>
            <w:pPr>
              <w:pStyle w:val="TableContents"/>
              <w:bidi w:val="0"/>
              <w:spacing w:before="0" w:after="283"/>
              <w:ind w:left="0" w:right="0" w:hanging="180"/>
              <w:jc w:val="left"/>
              <w:rPr/>
            </w:pPr>
            <w:r>
              <w:rPr/>
              <w:t> </w:t>
            </w:r>
          </w:p>
        </w:tc>
        <w:tc>
          <w:tcPr>
            <w:tcW w:w="9053" w:type="dxa"/>
            <w:tcBorders/>
            <w:shd w:fill="CCEEFF" w:val="clear"/>
            <w:vAlign w:val="center"/>
          </w:tcPr>
          <w:p>
            <w:pPr>
              <w:pStyle w:val="TableContents"/>
              <w:bidi w:val="0"/>
              <w:spacing w:before="0" w:after="283"/>
              <w:jc w:val="left"/>
              <w:rPr/>
            </w:pPr>
            <w:hyperlink w:anchor="k_006">
              <w:r>
                <w:rPr>
                  <w:rStyle w:val="InternetLink"/>
                  <w:rFonts w:ascii="Times New Roman;Times;Serif" w:hAnsi="Times New Roman;Times;Serif"/>
                  <w:sz w:val="20"/>
                </w:rPr>
                <w:t>Consolidated Statements of Stockholders’ Equity for the Three Months ended December 31, 2025 and 2024 (Unaudited)</w:t>
              </w:r>
            </w:hyperlink>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center"/>
              <w:rPr/>
            </w:pPr>
            <w:r>
              <w:rPr/>
              <w:t>4</w:t>
            </w:r>
          </w:p>
        </w:tc>
      </w:tr>
      <w:tr>
        <w:trPr/>
        <w:tc>
          <w:tcPr>
            <w:tcW w:w="726"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726" w:type="dxa"/>
            <w:tcBorders/>
            <w:shd w:fill="CCEEFF" w:val="clear"/>
            <w:vAlign w:val="center"/>
          </w:tcPr>
          <w:p>
            <w:pPr>
              <w:pStyle w:val="TableContents"/>
              <w:bidi w:val="0"/>
              <w:spacing w:before="0" w:after="283"/>
              <w:ind w:left="0" w:right="0" w:hanging="180"/>
              <w:jc w:val="left"/>
              <w:rPr/>
            </w:pPr>
            <w:r>
              <w:rPr/>
              <w:t> </w:t>
            </w:r>
          </w:p>
        </w:tc>
        <w:tc>
          <w:tcPr>
            <w:tcW w:w="9053" w:type="dxa"/>
            <w:tcBorders/>
            <w:shd w:fill="CCEEFF" w:val="clear"/>
            <w:vAlign w:val="center"/>
          </w:tcPr>
          <w:p>
            <w:pPr>
              <w:pStyle w:val="TableContents"/>
              <w:bidi w:val="0"/>
              <w:spacing w:before="0" w:after="283"/>
              <w:jc w:val="left"/>
              <w:rPr/>
            </w:pPr>
            <w:hyperlink w:anchor="k_007">
              <w:r>
                <w:rPr>
                  <w:rStyle w:val="InternetLink"/>
                  <w:rFonts w:ascii="Times New Roman;Times;Serif" w:hAnsi="Times New Roman;Times;Serif"/>
                  <w:sz w:val="20"/>
                </w:rPr>
                <w:t>Consolidated Statements of Cash Flows for the three months ended December 31, 2025 and 2024 (Unaudited)</w:t>
              </w:r>
            </w:hyperlink>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center"/>
              <w:rPr/>
            </w:pPr>
            <w:r>
              <w:rPr/>
              <w:t>5</w:t>
            </w:r>
          </w:p>
        </w:tc>
      </w:tr>
      <w:tr>
        <w:trPr/>
        <w:tc>
          <w:tcPr>
            <w:tcW w:w="726"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726" w:type="dxa"/>
            <w:tcBorders/>
            <w:shd w:fill="CCEEFF" w:val="clear"/>
            <w:vAlign w:val="center"/>
          </w:tcPr>
          <w:p>
            <w:pPr>
              <w:pStyle w:val="TableContents"/>
              <w:bidi w:val="0"/>
              <w:spacing w:before="0" w:after="283"/>
              <w:jc w:val="left"/>
              <w:rPr/>
            </w:pPr>
            <w:r>
              <w:rPr/>
              <w:t> </w:t>
            </w:r>
          </w:p>
        </w:tc>
        <w:tc>
          <w:tcPr>
            <w:tcW w:w="9053" w:type="dxa"/>
            <w:tcBorders/>
            <w:shd w:fill="CCEEFF" w:val="clear"/>
            <w:vAlign w:val="center"/>
          </w:tcPr>
          <w:p>
            <w:pPr>
              <w:pStyle w:val="TableContents"/>
              <w:bidi w:val="0"/>
              <w:spacing w:before="0" w:after="283"/>
              <w:jc w:val="left"/>
              <w:rPr/>
            </w:pPr>
            <w:hyperlink w:anchor="k_008">
              <w:r>
                <w:rPr>
                  <w:rStyle w:val="InternetLink"/>
                  <w:rFonts w:ascii="Times New Roman;Times;Serif" w:hAnsi="Times New Roman;Times;Serif"/>
                  <w:sz w:val="20"/>
                </w:rPr>
                <w:t>Notes to Consolidated Financial Statements</w:t>
              </w:r>
            </w:hyperlink>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center"/>
              <w:rPr/>
            </w:pPr>
            <w:r>
              <w:rPr/>
              <w:t>6</w:t>
            </w:r>
          </w:p>
        </w:tc>
      </w:tr>
      <w:tr>
        <w:trPr/>
        <w:tc>
          <w:tcPr>
            <w:tcW w:w="726"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7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9053" w:type="dxa"/>
            <w:tcBorders/>
            <w:shd w:fill="CCEEFF" w:val="clear"/>
            <w:vAlign w:val="center"/>
          </w:tcPr>
          <w:p>
            <w:pPr>
              <w:pStyle w:val="TableContents"/>
              <w:bidi w:val="0"/>
              <w:spacing w:before="0" w:after="283"/>
              <w:jc w:val="left"/>
              <w:rPr/>
            </w:pPr>
            <w:hyperlink w:anchor="k_009">
              <w:r>
                <w:rPr>
                  <w:rStyle w:val="InternetLink"/>
                  <w:rFonts w:ascii="Times New Roman;Times;Serif" w:hAnsi="Times New Roman;Times;Serif"/>
                  <w:sz w:val="20"/>
                </w:rPr>
                <w:t>Management’s Discussion and Analysis of Financial Condition and Results of Operations</w:t>
              </w:r>
            </w:hyperlink>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center"/>
              <w:rPr/>
            </w:pPr>
            <w:r>
              <w:rPr/>
              <w:t>18</w:t>
            </w:r>
          </w:p>
        </w:tc>
      </w:tr>
      <w:tr>
        <w:trPr/>
        <w:tc>
          <w:tcPr>
            <w:tcW w:w="726"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7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9053" w:type="dxa"/>
            <w:tcBorders/>
            <w:shd w:fill="CCEEFF" w:val="clear"/>
            <w:vAlign w:val="center"/>
          </w:tcPr>
          <w:p>
            <w:pPr>
              <w:pStyle w:val="TableContents"/>
              <w:bidi w:val="0"/>
              <w:spacing w:before="0" w:after="283"/>
              <w:jc w:val="left"/>
              <w:rPr/>
            </w:pPr>
            <w:hyperlink w:anchor="k_010">
              <w:r>
                <w:rPr>
                  <w:rStyle w:val="InternetLink"/>
                  <w:rFonts w:ascii="Times New Roman;Times;Serif" w:hAnsi="Times New Roman;Times;Serif"/>
                  <w:sz w:val="20"/>
                </w:rPr>
                <w:t>Quantitative and Qualitative Disclosures About Market Risk</w:t>
              </w:r>
            </w:hyperlink>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center"/>
              <w:rPr/>
            </w:pPr>
            <w:r>
              <w:rPr/>
              <w:t>26</w:t>
            </w:r>
          </w:p>
        </w:tc>
      </w:tr>
      <w:tr>
        <w:trPr/>
        <w:tc>
          <w:tcPr>
            <w:tcW w:w="726"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7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9053" w:type="dxa"/>
            <w:tcBorders/>
            <w:shd w:fill="CCEEFF" w:val="clear"/>
            <w:vAlign w:val="center"/>
          </w:tcPr>
          <w:p>
            <w:pPr>
              <w:pStyle w:val="TableContents"/>
              <w:bidi w:val="0"/>
              <w:spacing w:before="0" w:after="283"/>
              <w:jc w:val="left"/>
              <w:rPr/>
            </w:pPr>
            <w:hyperlink w:anchor="k_011">
              <w:r>
                <w:rPr>
                  <w:rStyle w:val="InternetLink"/>
                  <w:rFonts w:ascii="Times New Roman;Times;Serif" w:hAnsi="Times New Roman;Times;Serif"/>
                  <w:sz w:val="20"/>
                </w:rPr>
                <w:t>Controls and Procedures</w:t>
              </w:r>
            </w:hyperlink>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center"/>
              <w:rPr/>
            </w:pPr>
            <w:r>
              <w:rPr/>
              <w:t>26</w:t>
            </w:r>
          </w:p>
        </w:tc>
      </w:tr>
      <w:tr>
        <w:trPr/>
        <w:tc>
          <w:tcPr>
            <w:tcW w:w="726"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9779" w:type="dxa"/>
            <w:gridSpan w:val="2"/>
            <w:tcBorders/>
            <w:shd w:fill="CCEEFF" w:val="clear"/>
            <w:vAlign w:val="center"/>
          </w:tcPr>
          <w:p>
            <w:pPr>
              <w:pStyle w:val="TableContents"/>
              <w:bidi w:val="0"/>
              <w:spacing w:before="0" w:after="283"/>
              <w:jc w:val="left"/>
              <w:rPr/>
            </w:pPr>
            <w:hyperlink w:anchor="k_012">
              <w:r>
                <w:rPr>
                  <w:rStyle w:val="InternetLink"/>
                  <w:rFonts w:ascii="Times New Roman;Times;Serif" w:hAnsi="Times New Roman;Times;Serif"/>
                  <w:sz w:val="20"/>
                </w:rPr>
                <w:t>PART II. OTHER INFORMATION</w:t>
              </w:r>
            </w:hyperlink>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center"/>
              <w:rPr/>
            </w:pPr>
            <w:r>
              <w:rPr/>
              <w:t> </w:t>
            </w:r>
          </w:p>
        </w:tc>
      </w:tr>
      <w:tr>
        <w:trPr/>
        <w:tc>
          <w:tcPr>
            <w:tcW w:w="726"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7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9053" w:type="dxa"/>
            <w:tcBorders/>
            <w:shd w:fill="CCEEFF" w:val="clear"/>
            <w:vAlign w:val="center"/>
          </w:tcPr>
          <w:p>
            <w:pPr>
              <w:pStyle w:val="TableContents"/>
              <w:bidi w:val="0"/>
              <w:spacing w:before="0" w:after="283"/>
              <w:jc w:val="left"/>
              <w:rPr/>
            </w:pPr>
            <w:hyperlink w:anchor="k_013">
              <w:r>
                <w:rPr>
                  <w:rStyle w:val="InternetLink"/>
                  <w:rFonts w:ascii="Times New Roman;Times;Serif" w:hAnsi="Times New Roman;Times;Serif"/>
                  <w:sz w:val="20"/>
                </w:rPr>
                <w:t>Legal Proceedings</w:t>
              </w:r>
            </w:hyperlink>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center"/>
              <w:rPr/>
            </w:pPr>
            <w:r>
              <w:rPr/>
              <w:t>27</w:t>
            </w:r>
          </w:p>
        </w:tc>
      </w:tr>
      <w:tr>
        <w:trPr/>
        <w:tc>
          <w:tcPr>
            <w:tcW w:w="726"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7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1A.</w:t>
            </w:r>
          </w:p>
        </w:tc>
        <w:tc>
          <w:tcPr>
            <w:tcW w:w="9053" w:type="dxa"/>
            <w:tcBorders/>
            <w:shd w:fill="CCEEFF" w:val="clear"/>
            <w:vAlign w:val="center"/>
          </w:tcPr>
          <w:p>
            <w:pPr>
              <w:pStyle w:val="TableContents"/>
              <w:bidi w:val="0"/>
              <w:spacing w:before="0" w:after="283"/>
              <w:jc w:val="left"/>
              <w:rPr/>
            </w:pPr>
            <w:hyperlink w:anchor="k_014">
              <w:r>
                <w:rPr>
                  <w:rStyle w:val="InternetLink"/>
                  <w:rFonts w:ascii="Times New Roman;Times;Serif" w:hAnsi="Times New Roman;Times;Serif"/>
                  <w:sz w:val="20"/>
                </w:rPr>
                <w:t>Risk Factors</w:t>
              </w:r>
            </w:hyperlink>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center"/>
              <w:rPr/>
            </w:pPr>
            <w:r>
              <w:rPr/>
              <w:t>27</w:t>
            </w:r>
          </w:p>
        </w:tc>
      </w:tr>
      <w:tr>
        <w:trPr/>
        <w:tc>
          <w:tcPr>
            <w:tcW w:w="726"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7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9053" w:type="dxa"/>
            <w:tcBorders/>
            <w:shd w:fill="CCEEFF" w:val="clear"/>
            <w:vAlign w:val="center"/>
          </w:tcPr>
          <w:p>
            <w:pPr>
              <w:pStyle w:val="TableContents"/>
              <w:bidi w:val="0"/>
              <w:spacing w:before="0" w:after="283"/>
              <w:jc w:val="left"/>
              <w:rPr/>
            </w:pPr>
            <w:hyperlink w:anchor="k_015">
              <w:r>
                <w:rPr>
                  <w:rStyle w:val="InternetLink"/>
                  <w:rFonts w:ascii="Times New Roman;Times;Serif" w:hAnsi="Times New Roman;Times;Serif"/>
                  <w:sz w:val="20"/>
                </w:rPr>
                <w:t>Unregistered Sales of Equity Securities and Use of Proceeds</w:t>
              </w:r>
            </w:hyperlink>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center"/>
              <w:rPr/>
            </w:pPr>
            <w:r>
              <w:rPr/>
              <w:t>27</w:t>
            </w:r>
          </w:p>
        </w:tc>
      </w:tr>
      <w:tr>
        <w:trPr/>
        <w:tc>
          <w:tcPr>
            <w:tcW w:w="726"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7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9053" w:type="dxa"/>
            <w:tcBorders/>
            <w:shd w:fill="CCEEFF" w:val="clear"/>
            <w:vAlign w:val="center"/>
          </w:tcPr>
          <w:p>
            <w:pPr>
              <w:pStyle w:val="TableContents"/>
              <w:bidi w:val="0"/>
              <w:spacing w:before="0" w:after="283"/>
              <w:jc w:val="left"/>
              <w:rPr/>
            </w:pPr>
            <w:hyperlink w:anchor="k_016">
              <w:r>
                <w:rPr>
                  <w:rStyle w:val="InternetLink"/>
                  <w:rFonts w:ascii="Times New Roman;Times;Serif" w:hAnsi="Times New Roman;Times;Serif"/>
                  <w:sz w:val="20"/>
                </w:rPr>
                <w:t>Defaults Upon Senior Securities</w:t>
              </w:r>
            </w:hyperlink>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center"/>
              <w:rPr/>
            </w:pPr>
            <w:r>
              <w:rPr/>
              <w:t>27</w:t>
            </w:r>
          </w:p>
        </w:tc>
      </w:tr>
      <w:tr>
        <w:trPr/>
        <w:tc>
          <w:tcPr>
            <w:tcW w:w="726"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7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9053" w:type="dxa"/>
            <w:tcBorders/>
            <w:shd w:fill="CCEEFF" w:val="clear"/>
            <w:vAlign w:val="center"/>
          </w:tcPr>
          <w:p>
            <w:pPr>
              <w:pStyle w:val="TableContents"/>
              <w:bidi w:val="0"/>
              <w:spacing w:before="0" w:after="283"/>
              <w:jc w:val="left"/>
              <w:rPr/>
            </w:pPr>
            <w:hyperlink w:anchor="k_017">
              <w:r>
                <w:rPr>
                  <w:rStyle w:val="InternetLink"/>
                  <w:rFonts w:ascii="Times New Roman;Times;Serif" w:hAnsi="Times New Roman;Times;Serif"/>
                  <w:sz w:val="20"/>
                </w:rPr>
                <w:t>Mine Safety Disclosures</w:t>
              </w:r>
            </w:hyperlink>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center"/>
              <w:rPr/>
            </w:pPr>
            <w:r>
              <w:rPr/>
              <w:t>27</w:t>
            </w:r>
          </w:p>
        </w:tc>
      </w:tr>
      <w:tr>
        <w:trPr/>
        <w:tc>
          <w:tcPr>
            <w:tcW w:w="726"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7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9053" w:type="dxa"/>
            <w:tcBorders/>
            <w:shd w:fill="CCEEFF" w:val="clear"/>
            <w:vAlign w:val="center"/>
          </w:tcPr>
          <w:p>
            <w:pPr>
              <w:pStyle w:val="TableContents"/>
              <w:bidi w:val="0"/>
              <w:spacing w:before="0" w:after="283"/>
              <w:jc w:val="left"/>
              <w:rPr/>
            </w:pPr>
            <w:hyperlink w:anchor="k_018">
              <w:r>
                <w:rPr>
                  <w:rStyle w:val="InternetLink"/>
                  <w:rFonts w:ascii="Times New Roman;Times;Serif" w:hAnsi="Times New Roman;Times;Serif"/>
                  <w:sz w:val="20"/>
                </w:rPr>
                <w:t>Other Information</w:t>
              </w:r>
            </w:hyperlink>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center"/>
              <w:rPr/>
            </w:pPr>
            <w:r>
              <w:rPr/>
              <w:t>27</w:t>
            </w:r>
          </w:p>
        </w:tc>
      </w:tr>
      <w:tr>
        <w:trPr/>
        <w:tc>
          <w:tcPr>
            <w:tcW w:w="726"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7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w:t>
            </w:r>
          </w:p>
        </w:tc>
        <w:tc>
          <w:tcPr>
            <w:tcW w:w="9053" w:type="dxa"/>
            <w:tcBorders/>
            <w:shd w:fill="CCEEFF" w:val="clear"/>
            <w:vAlign w:val="center"/>
          </w:tcPr>
          <w:p>
            <w:pPr>
              <w:pStyle w:val="TableContents"/>
              <w:bidi w:val="0"/>
              <w:spacing w:before="0" w:after="283"/>
              <w:jc w:val="left"/>
              <w:rPr/>
            </w:pPr>
            <w:hyperlink w:anchor="k_019">
              <w:r>
                <w:rPr>
                  <w:rStyle w:val="InternetLink"/>
                  <w:rFonts w:ascii="Times New Roman;Times;Serif" w:hAnsi="Times New Roman;Times;Serif"/>
                  <w:sz w:val="20"/>
                </w:rPr>
                <w:t>Exhibits</w:t>
              </w:r>
            </w:hyperlink>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center"/>
              <w:rPr/>
            </w:pPr>
            <w:r>
              <w:rPr/>
              <w:t>28</w:t>
            </w:r>
          </w:p>
        </w:tc>
      </w:tr>
      <w:tr>
        <w:trPr/>
        <w:tc>
          <w:tcPr>
            <w:tcW w:w="726"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9779" w:type="dxa"/>
            <w:gridSpan w:val="2"/>
            <w:tcBorders/>
            <w:shd w:fill="CCEEFF" w:val="clear"/>
            <w:vAlign w:val="center"/>
          </w:tcPr>
          <w:p>
            <w:pPr>
              <w:pStyle w:val="TableContents"/>
              <w:bidi w:val="0"/>
              <w:spacing w:before="0" w:after="283"/>
              <w:jc w:val="left"/>
              <w:rPr/>
            </w:pPr>
            <w:hyperlink w:anchor="k_020">
              <w:r>
                <w:rPr>
                  <w:rStyle w:val="InternetLink"/>
                  <w:rFonts w:ascii="Times New Roman;Times;Serif" w:hAnsi="Times New Roman;Times;Serif"/>
                  <w:sz w:val="20"/>
                </w:rPr>
                <w:t>SIGNATURES</w:t>
              </w:r>
            </w:hyperlink>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center"/>
              <w:rPr/>
            </w:pPr>
            <w:r>
              <w:rPr/>
              <w:t>29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(this “Report”) contains “forward-looking statements” (as defined in Section 27A of the Securities Act of 1933, as amended (the “Securities Act”), and Section 21E of the Securities Exchange Act of 1934, as amended (the “Exchange Act”) that reflect our current expectations and views of future events. The forward-looking statements are contained principally in the section of this Report entitled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Readers are cautioned that significant known and unknown risks, uncertainties and other important factors (including those over which we may have no control and others listed in this Report and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of our Annual Report on Form 10-K for the fiscal year ended September 30, 2025 (“2025 Annual Report”), as filed with the Securities and Exchange Commission (the “SEC”) on January 20, 2026, may cause our actual results, performance or achievements to be materially different from those expressed or implied by the forward-looking statements. You can identify some of these forward-looking statements by words or phrases such as “may,” “will,” “expect,” “anticipate,” “aim,” “estimate,” “intend,” “plan,” “believe,” “is/are likely to,” “potential,” “continue” or other similar expressions. We have based these forward-looking statements on our current expectations and projections about future events that we believe may affect our financial condition, results of operations, business strategy and financial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business prospects are always subject to risks and uncertainties including,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ability to secure raw materials and components to manufacture sufficient quantities of robots to match demand;</w:t>
            </w:r>
          </w:p>
        </w:tc>
      </w:tr>
    </w:tbl>
    <w:p>
      <w:pPr>
        <w:pStyle w:val="TextBody"/>
        <w:bidi w:val="0"/>
        <w:spacing w:before="0" w:after="0"/>
        <w:ind w:left="774" w:right="0" w:hanging="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68"/>
        <w:gridCol w:w="200"/>
        <w:gridCol w:w="79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both"/>
              <w:rPr/>
            </w:pPr>
            <w:r>
              <w:rPr/>
              <w:t>Our ability to secure enterprise clients and deals in the face of growing competition;</w:t>
            </w:r>
          </w:p>
        </w:tc>
      </w:tr>
    </w:tbl>
    <w:p>
      <w:pPr>
        <w:pStyle w:val="TextBody"/>
        <w:bidi w:val="0"/>
        <w:spacing w:before="0" w:after="0"/>
        <w:ind w:left="774" w:right="0" w:hanging="0"/>
        <w:jc w:val="both"/>
        <w:rPr>
          <w:caps w:val="false"/>
          <w:smallCaps w:val="false"/>
        </w:rPr>
      </w:pPr>
      <w:r>
        <w:rPr>
          <w:caps w:val="false"/>
          <w:smallCaps w:val="false"/>
        </w:rPr>
        <w:t> </w:t>
      </w:r>
    </w:p>
    <w:tbl>
      <w:tblPr>
        <w:tblW w:w="7473" w:type="dxa"/>
        <w:jc w:val="left"/>
        <w:tblInd w:w="0" w:type="dxa"/>
        <w:tblLayout w:type="fixed"/>
        <w:tblCellMar>
          <w:top w:w="0" w:type="dxa"/>
          <w:left w:w="0" w:type="dxa"/>
          <w:bottom w:w="0" w:type="dxa"/>
          <w:right w:w="0" w:type="dxa"/>
        </w:tblCellMar>
      </w:tblPr>
      <w:tblGrid>
        <w:gridCol w:w="68"/>
        <w:gridCol w:w="200"/>
        <w:gridCol w:w="72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pPr>
            <w:r>
              <w:rPr/>
              <w:t>Assumptions around the speed of robotic adoption in service environments;</w:t>
            </w:r>
          </w:p>
        </w:tc>
      </w:tr>
    </w:tbl>
    <w:p>
      <w:pPr>
        <w:pStyle w:val="TextBody"/>
        <w:bidi w:val="0"/>
        <w:spacing w:before="0" w:after="0"/>
        <w:ind w:left="720" w:right="0" w:hanging="0"/>
        <w:jc w:val="left"/>
        <w:rPr>
          <w:caps w:val="false"/>
          <w:smallCaps w:val="false"/>
        </w:rPr>
      </w:pPr>
      <w:r>
        <w:rPr>
          <w:caps w:val="false"/>
          <w:smallCaps w:val="false"/>
        </w:rPr>
        <w:t> </w:t>
      </w:r>
    </w:p>
    <w:tbl>
      <w:tblPr>
        <w:tblW w:w="7518" w:type="dxa"/>
        <w:jc w:val="left"/>
        <w:tblInd w:w="0" w:type="dxa"/>
        <w:tblLayout w:type="fixed"/>
        <w:tblCellMar>
          <w:top w:w="0" w:type="dxa"/>
          <w:left w:w="0" w:type="dxa"/>
          <w:bottom w:w="0" w:type="dxa"/>
          <w:right w:w="0" w:type="dxa"/>
        </w:tblCellMar>
      </w:tblPr>
      <w:tblGrid>
        <w:gridCol w:w="68"/>
        <w:gridCol w:w="200"/>
        <w:gridCol w:w="72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pPr>
            <w:r>
              <w:rPr/>
              <w:t>Assumptions relating to the size of the market for our products and services;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Unanticipated regulations of robots and automation that add barriers to adoption and have a negative effect on our business;</w:t>
            </w:r>
          </w:p>
        </w:tc>
      </w:tr>
    </w:tbl>
    <w:p>
      <w:pPr>
        <w:pStyle w:val="TextBody"/>
        <w:bidi w:val="0"/>
        <w:spacing w:before="0" w:after="0"/>
        <w:ind w:left="720" w:right="0" w:hanging="0"/>
        <w:jc w:val="left"/>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68"/>
        <w:gridCol w:w="200"/>
        <w:gridCol w:w="78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283"/>
              <w:jc w:val="both"/>
              <w:rPr/>
            </w:pPr>
            <w:r>
              <w:rPr/>
              <w:t>Our ability to obtain and maintain intellectual property protection for our products;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Investigations, claims, disputes, enforcement actions, litigation and/or other regulatory or legal proceedings, including with respect to our intellectual property and our technology;</w:t>
            </w:r>
          </w:p>
        </w:tc>
      </w:tr>
    </w:tbl>
    <w:p>
      <w:pPr>
        <w:pStyle w:val="TextBody"/>
        <w:bidi w:val="0"/>
        <w:spacing w:before="0" w:after="0"/>
        <w:ind w:left="720" w:right="0" w:hanging="0"/>
        <w:jc w:val="left"/>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68"/>
        <w:gridCol w:w="200"/>
        <w:gridCol w:w="86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both"/>
              <w:rPr/>
            </w:pPr>
            <w:r>
              <w:rPr/>
              <w:t>Level of product service failures that could lead our customers to use competitors’ services;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estimates of expenses, future revenue, capital requirements and our needs for, or ability to obtain, additional financing</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ability to procure inventory and components from China may be affected by geopolitical tensions, conflict, tariffs, trade restrictions, public health issues, and other business interruptions;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possibility that we may be adversely affected by other economic, business, and/or competitive factors; and</w:t>
            </w:r>
          </w:p>
        </w:tc>
      </w:tr>
    </w:tbl>
    <w:p>
      <w:pPr>
        <w:pStyle w:val="TextBody"/>
        <w:bidi w:val="0"/>
        <w:spacing w:before="0" w:after="0"/>
        <w:ind w:left="720" w:right="0" w:hanging="0"/>
        <w:jc w:val="left"/>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68"/>
        <w:gridCol w:w="200"/>
        <w:gridCol w:w="86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described under the section titled “Risk Factors” in the 2025 Annual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involve numerous and significant risks and uncertainties.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Important risks and factors that could cause our actual results to be materially different from our expectations are generally set forth in the “</w:t>
      </w:r>
      <w:r>
        <w:rPr>
          <w:rFonts w:ascii="Times New Roman;Times;Serif" w:hAnsi="Times New Roman;Times;Serif"/>
          <w:b w:val="false"/>
          <w:i/>
          <w:caps w:val="false"/>
          <w:smallCaps w:val="false"/>
          <w:sz w:val="20"/>
        </w:rPr>
        <w:t>Management’s Discussion and Analysis of Financial Condition and Results of Operation</w:t>
      </w:r>
      <w:r>
        <w:rPr>
          <w:rFonts w:ascii="Times New Roman;Times;Serif" w:hAnsi="Times New Roman;Times;Serif"/>
          <w:b w:val="false"/>
          <w:i w:val="false"/>
          <w:caps w:val="false"/>
          <w:smallCaps w:val="false"/>
          <w:sz w:val="20"/>
        </w:rPr>
        <w:t>” section contain in this Report and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other sections of the 2025 Annual Report. You should thoroughly read this Report and the documents that we refer to with the understanding that our actual future results may be materially different from, and worse than, what we expect. We qualify all our forward-looking statements by these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completely and with the understanding that our actual future results may be materially different from what we expect.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k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k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k_003"/>
      <w:bookmarkEnd w:id="4"/>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05"/>
        <w:gridCol w:w="90"/>
        <w:gridCol w:w="170"/>
        <w:gridCol w:w="1430"/>
        <w:gridCol w:w="125"/>
        <w:gridCol w:w="90"/>
        <w:gridCol w:w="170"/>
        <w:gridCol w:w="1490"/>
        <w:gridCol w:w="535"/>
      </w:tblGrid>
      <w:tr>
        <w:trPr/>
        <w:tc>
          <w:tcPr>
            <w:tcW w:w="6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w:t>
              <w:br/>
              <w:t>2025</w:t>
            </w:r>
          </w:p>
        </w:tc>
        <w:tc>
          <w:tcPr>
            <w:tcW w:w="535" w:type="dxa"/>
            <w:tcBorders/>
            <w:vAlign w:val="center"/>
          </w:tcPr>
          <w:p>
            <w:pPr>
              <w:pStyle w:val="TableContents"/>
              <w:bidi w:val="0"/>
              <w:spacing w:before="0" w:after="283"/>
              <w:jc w:val="left"/>
              <w:rPr/>
            </w:pPr>
            <w:r>
              <w:rPr/>
              <w:t> </w:t>
            </w:r>
          </w:p>
        </w:tc>
      </w:tr>
      <w:tr>
        <w:trPr/>
        <w:tc>
          <w:tcPr>
            <w:tcW w:w="6105"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2"/>
            <w:tcBorders/>
            <w:vAlign w:val="center"/>
          </w:tcPr>
          <w:p>
            <w:pPr>
              <w:pStyle w:val="TableContents"/>
              <w:bidi w:val="0"/>
              <w:spacing w:before="0" w:after="283"/>
              <w:jc w:val="right"/>
              <w:rPr/>
            </w:pPr>
            <w:r>
              <w:rPr/>
              <w:t> </w:t>
            </w:r>
          </w:p>
        </w:tc>
        <w:tc>
          <w:tcPr>
            <w:tcW w:w="535" w:type="dxa"/>
            <w:tcBorders/>
            <w:vAlign w:val="center"/>
          </w:tcPr>
          <w:p>
            <w:pPr>
              <w:pStyle w:val="TableContents"/>
              <w:bidi w:val="0"/>
              <w:spacing w:before="0" w:after="283"/>
              <w:jc w:val="left"/>
              <w:rPr/>
            </w:pPr>
            <w:r>
              <w:rPr/>
              <w:t> </w:t>
            </w:r>
          </w:p>
        </w:tc>
      </w:tr>
      <w:tr>
        <w:trPr/>
        <w:tc>
          <w:tcPr>
            <w:tcW w:w="6105"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2"/>
            <w:tcBorders/>
            <w:vAlign w:val="center"/>
          </w:tcPr>
          <w:p>
            <w:pPr>
              <w:pStyle w:val="TableContents"/>
              <w:bidi w:val="0"/>
              <w:spacing w:before="0" w:after="283"/>
              <w:jc w:val="right"/>
              <w:rPr/>
            </w:pPr>
            <w:r>
              <w:rPr/>
              <w:t> </w:t>
            </w:r>
          </w:p>
        </w:tc>
        <w:tc>
          <w:tcPr>
            <w:tcW w:w="535" w:type="dxa"/>
            <w:tcBorders/>
            <w:vAlign w:val="center"/>
          </w:tcPr>
          <w:p>
            <w:pPr>
              <w:pStyle w:val="TableContents"/>
              <w:bidi w:val="0"/>
              <w:spacing w:before="0" w:after="283"/>
              <w:jc w:val="left"/>
              <w:rPr/>
            </w:pPr>
            <w:r>
              <w:rPr/>
              <w:t> </w:t>
            </w:r>
          </w:p>
        </w:tc>
      </w:tr>
      <w:tr>
        <w:trPr/>
        <w:tc>
          <w:tcPr>
            <w:tcW w:w="6105"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          </w:t>
            </w:r>
            <w:r>
              <w:rPr/>
              <w:t>271,811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90" w:type="dxa"/>
            <w:tcBorders/>
            <w:shd w:fill="CCEEFF" w:val="clear"/>
            <w:vAlign w:val="center"/>
          </w:tcPr>
          <w:p>
            <w:pPr>
              <w:pStyle w:val="TableContents"/>
              <w:bidi w:val="0"/>
              <w:spacing w:before="0" w:after="283"/>
              <w:jc w:val="right"/>
              <w:rPr/>
            </w:pPr>
            <w:r>
              <w:rPr/>
              <w:t>           </w:t>
            </w:r>
            <w:r>
              <w:rPr/>
              <w:t>193,629</w:t>
            </w:r>
          </w:p>
        </w:tc>
        <w:tc>
          <w:tcPr>
            <w:tcW w:w="535" w:type="dxa"/>
            <w:tcBorders/>
            <w:shd w:fill="CCEEFF" w:val="clear"/>
            <w:vAlign w:val="center"/>
          </w:tcPr>
          <w:p>
            <w:pPr>
              <w:pStyle w:val="TableContents"/>
              <w:bidi w:val="0"/>
              <w:spacing w:before="0" w:after="283"/>
              <w:jc w:val="left"/>
              <w:rPr/>
            </w:pPr>
            <w:r>
              <w:rPr/>
              <w:t> </w:t>
            </w:r>
          </w:p>
        </w:tc>
      </w:tr>
      <w:tr>
        <w:trPr/>
        <w:tc>
          <w:tcPr>
            <w:tcW w:w="6105" w:type="dxa"/>
            <w:tcBorders/>
            <w:vAlign w:val="center"/>
          </w:tcPr>
          <w:p>
            <w:pPr>
              <w:pStyle w:val="TableContents"/>
              <w:bidi w:val="0"/>
              <w:spacing w:before="0" w:after="283"/>
              <w:jc w:val="left"/>
              <w:rPr/>
            </w:pPr>
            <w:r>
              <w:rPr/>
              <w:t>Short term investment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56,683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pPr>
            <w:r>
              <w:rPr/>
              <w:t>58,308</w:t>
            </w:r>
          </w:p>
        </w:tc>
        <w:tc>
          <w:tcPr>
            <w:tcW w:w="535" w:type="dxa"/>
            <w:tcBorders/>
            <w:vAlign w:val="center"/>
          </w:tcPr>
          <w:p>
            <w:pPr>
              <w:pStyle w:val="TableContents"/>
              <w:bidi w:val="0"/>
              <w:spacing w:before="0" w:after="283"/>
              <w:jc w:val="left"/>
              <w:rPr/>
            </w:pPr>
            <w:r>
              <w:rPr/>
              <w:t> </w:t>
            </w:r>
          </w:p>
        </w:tc>
      </w:tr>
      <w:tr>
        <w:trPr/>
        <w:tc>
          <w:tcPr>
            <w:tcW w:w="6105" w:type="dxa"/>
            <w:tcBorders/>
            <w:shd w:fill="CCEEFF" w:val="clear"/>
            <w:vAlign w:val="center"/>
          </w:tcPr>
          <w:p>
            <w:pPr>
              <w:pStyle w:val="TableContents"/>
              <w:bidi w:val="0"/>
              <w:spacing w:before="0" w:after="283"/>
              <w:jc w:val="left"/>
              <w:rPr/>
            </w:pPr>
            <w:r>
              <w:rPr/>
              <w:t>Accounts receivable, (net of allowance for doubtful accounts)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1,890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1,780</w:t>
            </w:r>
          </w:p>
        </w:tc>
        <w:tc>
          <w:tcPr>
            <w:tcW w:w="535" w:type="dxa"/>
            <w:tcBorders/>
            <w:shd w:fill="CCEEFF" w:val="clear"/>
            <w:vAlign w:val="center"/>
          </w:tcPr>
          <w:p>
            <w:pPr>
              <w:pStyle w:val="TableContents"/>
              <w:bidi w:val="0"/>
              <w:spacing w:before="0" w:after="283"/>
              <w:jc w:val="left"/>
              <w:rPr/>
            </w:pPr>
            <w:r>
              <w:rPr/>
              <w:t> </w:t>
            </w:r>
          </w:p>
        </w:tc>
      </w:tr>
      <w:tr>
        <w:trPr/>
        <w:tc>
          <w:tcPr>
            <w:tcW w:w="6105" w:type="dxa"/>
            <w:tcBorders/>
            <w:vAlign w:val="center"/>
          </w:tcPr>
          <w:p>
            <w:pPr>
              <w:pStyle w:val="TableContents"/>
              <w:bidi w:val="0"/>
              <w:spacing w:before="0" w:after="283"/>
              <w:jc w:val="left"/>
              <w:rPr/>
            </w:pPr>
            <w:r>
              <w:rPr/>
              <w:t>Inventory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1,878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pPr>
            <w:r>
              <w:rPr/>
              <w:t>1,380</w:t>
            </w:r>
          </w:p>
        </w:tc>
        <w:tc>
          <w:tcPr>
            <w:tcW w:w="535" w:type="dxa"/>
            <w:tcBorders/>
            <w:vAlign w:val="center"/>
          </w:tcPr>
          <w:p>
            <w:pPr>
              <w:pStyle w:val="TableContents"/>
              <w:bidi w:val="0"/>
              <w:spacing w:before="0" w:after="283"/>
              <w:jc w:val="left"/>
              <w:rPr/>
            </w:pPr>
            <w:r>
              <w:rPr/>
              <w:t> </w:t>
            </w:r>
          </w:p>
        </w:tc>
      </w:tr>
      <w:tr>
        <w:trPr/>
        <w:tc>
          <w:tcPr>
            <w:tcW w:w="6105"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322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pPr>
            <w:r>
              <w:rPr/>
              <w:t>429</w:t>
            </w:r>
          </w:p>
        </w:tc>
        <w:tc>
          <w:tcPr>
            <w:tcW w:w="535" w:type="dxa"/>
            <w:tcBorders/>
            <w:shd w:fill="CCEEFF" w:val="clear"/>
            <w:vAlign w:val="center"/>
          </w:tcPr>
          <w:p>
            <w:pPr>
              <w:pStyle w:val="TableContents"/>
              <w:bidi w:val="0"/>
              <w:spacing w:before="0" w:after="283"/>
              <w:jc w:val="left"/>
              <w:rPr/>
            </w:pPr>
            <w:r>
              <w:rPr/>
              <w:t> </w:t>
            </w:r>
          </w:p>
        </w:tc>
      </w:tr>
      <w:tr>
        <w:trPr/>
        <w:tc>
          <w:tcPr>
            <w:tcW w:w="6105"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332,584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pPr>
            <w:r>
              <w:rPr/>
              <w:t>255,526</w:t>
            </w:r>
          </w:p>
        </w:tc>
        <w:tc>
          <w:tcPr>
            <w:tcW w:w="535" w:type="dxa"/>
            <w:tcBorders/>
            <w:vAlign w:val="center"/>
          </w:tcPr>
          <w:p>
            <w:pPr>
              <w:pStyle w:val="TableContents"/>
              <w:bidi w:val="0"/>
              <w:spacing w:before="0" w:after="283"/>
              <w:jc w:val="left"/>
              <w:rPr/>
            </w:pPr>
            <w:r>
              <w:rPr/>
              <w:t> </w:t>
            </w:r>
          </w:p>
        </w:tc>
      </w:tr>
      <w:tr>
        <w:trPr/>
        <w:tc>
          <w:tcPr>
            <w:tcW w:w="6105"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5,541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5,579</w:t>
            </w:r>
          </w:p>
        </w:tc>
        <w:tc>
          <w:tcPr>
            <w:tcW w:w="535" w:type="dxa"/>
            <w:tcBorders/>
            <w:shd w:fill="CCEEFF" w:val="clear"/>
            <w:vAlign w:val="center"/>
          </w:tcPr>
          <w:p>
            <w:pPr>
              <w:pStyle w:val="TableContents"/>
              <w:bidi w:val="0"/>
              <w:spacing w:before="0" w:after="283"/>
              <w:jc w:val="left"/>
              <w:rPr/>
            </w:pPr>
            <w:r>
              <w:rPr/>
              <w:t> </w:t>
            </w:r>
          </w:p>
        </w:tc>
      </w:tr>
      <w:tr>
        <w:trPr/>
        <w:tc>
          <w:tcPr>
            <w:tcW w:w="6105" w:type="dxa"/>
            <w:tcBorders/>
            <w:vAlign w:val="center"/>
          </w:tcPr>
          <w:p>
            <w:pPr>
              <w:pStyle w:val="TableContents"/>
              <w:bidi w:val="0"/>
              <w:spacing w:before="0" w:after="283"/>
              <w:jc w:val="left"/>
              <w:rPr/>
            </w:pPr>
            <w:r>
              <w:rPr/>
              <w:t>Notes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528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pPr>
            <w:r>
              <w:rPr/>
              <w:t>523</w:t>
            </w:r>
          </w:p>
        </w:tc>
        <w:tc>
          <w:tcPr>
            <w:tcW w:w="535" w:type="dxa"/>
            <w:tcBorders/>
            <w:vAlign w:val="center"/>
          </w:tcPr>
          <w:p>
            <w:pPr>
              <w:pStyle w:val="TableContents"/>
              <w:bidi w:val="0"/>
              <w:spacing w:before="0" w:after="283"/>
              <w:jc w:val="left"/>
              <w:rPr/>
            </w:pPr>
            <w:r>
              <w:rPr/>
              <w:t> </w:t>
            </w:r>
          </w:p>
        </w:tc>
      </w:tr>
      <w:tr>
        <w:trPr/>
        <w:tc>
          <w:tcPr>
            <w:tcW w:w="6105" w:type="dxa"/>
            <w:tcBorders/>
            <w:shd w:fill="CCEEFF" w:val="clear"/>
            <w:vAlign w:val="center"/>
          </w:tcPr>
          <w:p>
            <w:pPr>
              <w:pStyle w:val="TableContents"/>
              <w:bidi w:val="0"/>
              <w:spacing w:before="0" w:after="283"/>
              <w:jc w:val="left"/>
              <w:rPr/>
            </w:pPr>
            <w:r>
              <w:rPr/>
              <w:t>Operating lease right-of-use-assets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607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731</w:t>
            </w:r>
          </w:p>
        </w:tc>
        <w:tc>
          <w:tcPr>
            <w:tcW w:w="535" w:type="dxa"/>
            <w:tcBorders/>
            <w:shd w:fill="CCEEFF" w:val="clear"/>
            <w:vAlign w:val="center"/>
          </w:tcPr>
          <w:p>
            <w:pPr>
              <w:pStyle w:val="TableContents"/>
              <w:bidi w:val="0"/>
              <w:spacing w:before="0" w:after="283"/>
              <w:jc w:val="left"/>
              <w:rPr/>
            </w:pPr>
            <w:r>
              <w:rPr/>
              <w:t> </w:t>
            </w:r>
          </w:p>
        </w:tc>
      </w:tr>
      <w:tr>
        <w:trPr/>
        <w:tc>
          <w:tcPr>
            <w:tcW w:w="6105" w:type="dxa"/>
            <w:tcBorders/>
            <w:vAlign w:val="center"/>
          </w:tcPr>
          <w:p>
            <w:pPr>
              <w:pStyle w:val="TableContents"/>
              <w:bidi w:val="0"/>
              <w:spacing w:before="0" w:after="283"/>
              <w:jc w:val="left"/>
              <w:rPr/>
            </w:pPr>
            <w:r>
              <w:rPr/>
              <w:t>Intangible assets,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9,477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pPr>
            <w:r>
              <w:rPr/>
              <w:t>9,761</w:t>
            </w:r>
          </w:p>
        </w:tc>
        <w:tc>
          <w:tcPr>
            <w:tcW w:w="535" w:type="dxa"/>
            <w:tcBorders/>
            <w:vAlign w:val="center"/>
          </w:tcPr>
          <w:p>
            <w:pPr>
              <w:pStyle w:val="TableContents"/>
              <w:bidi w:val="0"/>
              <w:spacing w:before="0" w:after="283"/>
              <w:jc w:val="left"/>
              <w:rPr/>
            </w:pPr>
            <w:r>
              <w:rPr/>
              <w:t> </w:t>
            </w:r>
          </w:p>
        </w:tc>
      </w:tr>
      <w:tr>
        <w:trPr/>
        <w:tc>
          <w:tcPr>
            <w:tcW w:w="6105" w:type="dxa"/>
            <w:tcBorders/>
            <w:shd w:fill="CCEEFF" w:val="clear"/>
            <w:vAlign w:val="center"/>
          </w:tcPr>
          <w:p>
            <w:pPr>
              <w:pStyle w:val="TableContents"/>
              <w:bidi w:val="0"/>
              <w:spacing w:before="0" w:after="283"/>
              <w:jc w:val="left"/>
              <w:rPr/>
            </w:pPr>
            <w:r>
              <w:rPr/>
              <w:t>Other assets, non-current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647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pPr>
            <w:r>
              <w:rPr/>
              <w:t>638</w:t>
            </w:r>
          </w:p>
        </w:tc>
        <w:tc>
          <w:tcPr>
            <w:tcW w:w="535" w:type="dxa"/>
            <w:tcBorders/>
            <w:shd w:fill="CCEEFF" w:val="clear"/>
            <w:vAlign w:val="center"/>
          </w:tcPr>
          <w:p>
            <w:pPr>
              <w:pStyle w:val="TableContents"/>
              <w:bidi w:val="0"/>
              <w:spacing w:before="0" w:after="283"/>
              <w:jc w:val="left"/>
              <w:rPr/>
            </w:pPr>
            <w:r>
              <w:rPr/>
              <w:t> </w:t>
            </w:r>
          </w:p>
        </w:tc>
      </w:tr>
      <w:tr>
        <w:trPr/>
        <w:tc>
          <w:tcPr>
            <w:tcW w:w="6105"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349,384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490" w:type="dxa"/>
            <w:tcBorders>
              <w:bottom w:val="single" w:sz="12" w:space="0" w:color="000000"/>
            </w:tcBorders>
            <w:tcMar>
              <w:bottom w:w="28" w:type="dxa"/>
            </w:tcMar>
            <w:vAlign w:val="center"/>
          </w:tcPr>
          <w:p>
            <w:pPr>
              <w:pStyle w:val="TableContents"/>
              <w:bidi w:val="0"/>
              <w:spacing w:before="0" w:after="283"/>
              <w:jc w:val="right"/>
              <w:rPr/>
            </w:pPr>
            <w:r>
              <w:rPr/>
              <w:t>272,758</w:t>
            </w:r>
          </w:p>
        </w:tc>
        <w:tc>
          <w:tcPr>
            <w:tcW w:w="535" w:type="dxa"/>
            <w:tcBorders/>
            <w:vAlign w:val="center"/>
          </w:tcPr>
          <w:p>
            <w:pPr>
              <w:pStyle w:val="TableContents"/>
              <w:bidi w:val="0"/>
              <w:spacing w:before="0" w:after="283"/>
              <w:jc w:val="left"/>
              <w:rPr/>
            </w:pPr>
            <w:r>
              <w:rPr/>
              <w:t> </w:t>
            </w:r>
          </w:p>
        </w:tc>
      </w:tr>
      <w:tr>
        <w:trPr/>
        <w:tc>
          <w:tcPr>
            <w:tcW w:w="6105" w:type="dxa"/>
            <w:tcBorders/>
            <w:shd w:fill="CCEEFF" w:val="clear"/>
            <w:vAlign w:val="center"/>
          </w:tcPr>
          <w:p>
            <w:pPr>
              <w:pStyle w:val="TableContents"/>
              <w:bidi w:val="0"/>
              <w:spacing w:before="0" w:after="283"/>
              <w:jc w:val="left"/>
              <w:rPr>
                <w:b/>
              </w:rPr>
            </w:pPr>
            <w:r>
              <w:rPr>
                <w:b/>
              </w:rPr>
              <w:t>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535" w:type="dxa"/>
            <w:tcBorders/>
            <w:shd w:fill="CCEEFF" w:val="clear"/>
            <w:vAlign w:val="center"/>
          </w:tcPr>
          <w:p>
            <w:pPr>
              <w:pStyle w:val="TableContents"/>
              <w:bidi w:val="0"/>
              <w:spacing w:before="0" w:after="283"/>
              <w:jc w:val="left"/>
              <w:rPr/>
            </w:pPr>
            <w:r>
              <w:rPr/>
              <w:t> </w:t>
            </w:r>
          </w:p>
        </w:tc>
      </w:tr>
      <w:tr>
        <w:trPr/>
        <w:tc>
          <w:tcPr>
            <w:tcW w:w="6105"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pPr>
            <w:r>
              <w:rPr/>
              <w:t> </w:t>
            </w:r>
          </w:p>
        </w:tc>
        <w:tc>
          <w:tcPr>
            <w:tcW w:w="535" w:type="dxa"/>
            <w:tcBorders/>
            <w:vAlign w:val="center"/>
          </w:tcPr>
          <w:p>
            <w:pPr>
              <w:pStyle w:val="TableContents"/>
              <w:bidi w:val="0"/>
              <w:spacing w:before="0" w:after="283"/>
              <w:jc w:val="left"/>
              <w:rPr/>
            </w:pPr>
            <w:r>
              <w:rPr/>
              <w:t> </w:t>
            </w:r>
          </w:p>
        </w:tc>
      </w:tr>
      <w:tr>
        <w:trPr/>
        <w:tc>
          <w:tcPr>
            <w:tcW w:w="6105"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132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90" w:type="dxa"/>
            <w:tcBorders/>
            <w:shd w:fill="CCEEFF" w:val="clear"/>
            <w:vAlign w:val="center"/>
          </w:tcPr>
          <w:p>
            <w:pPr>
              <w:pStyle w:val="TableContents"/>
              <w:bidi w:val="0"/>
              <w:spacing w:before="0" w:after="283"/>
              <w:jc w:val="right"/>
              <w:rPr/>
            </w:pPr>
            <w:r>
              <w:rPr/>
              <w:t>397</w:t>
            </w:r>
          </w:p>
        </w:tc>
        <w:tc>
          <w:tcPr>
            <w:tcW w:w="535" w:type="dxa"/>
            <w:tcBorders/>
            <w:shd w:fill="CCEEFF" w:val="clear"/>
            <w:vAlign w:val="center"/>
          </w:tcPr>
          <w:p>
            <w:pPr>
              <w:pStyle w:val="TableContents"/>
              <w:bidi w:val="0"/>
              <w:spacing w:before="0" w:after="283"/>
              <w:jc w:val="left"/>
              <w:rPr/>
            </w:pPr>
            <w:r>
              <w:rPr/>
              <w:t> </w:t>
            </w:r>
          </w:p>
        </w:tc>
      </w:tr>
      <w:tr>
        <w:trPr/>
        <w:tc>
          <w:tcPr>
            <w:tcW w:w="6105" w:type="dxa"/>
            <w:tcBorders/>
            <w:vAlign w:val="center"/>
          </w:tcPr>
          <w:p>
            <w:pPr>
              <w:pStyle w:val="TableContents"/>
              <w:bidi w:val="0"/>
              <w:spacing w:before="0" w:after="283"/>
              <w:jc w:val="left"/>
              <w:rPr/>
            </w:pPr>
            <w:r>
              <w:rPr/>
              <w:t>Deferred revenue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358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pPr>
            <w:r>
              <w:rPr/>
              <w:t>248</w:t>
            </w:r>
          </w:p>
        </w:tc>
        <w:tc>
          <w:tcPr>
            <w:tcW w:w="535" w:type="dxa"/>
            <w:tcBorders/>
            <w:vAlign w:val="center"/>
          </w:tcPr>
          <w:p>
            <w:pPr>
              <w:pStyle w:val="TableContents"/>
              <w:bidi w:val="0"/>
              <w:spacing w:before="0" w:after="283"/>
              <w:jc w:val="left"/>
              <w:rPr/>
            </w:pPr>
            <w:r>
              <w:rPr/>
              <w:t> </w:t>
            </w:r>
          </w:p>
        </w:tc>
      </w:tr>
      <w:tr>
        <w:trPr/>
        <w:tc>
          <w:tcPr>
            <w:tcW w:w="6105" w:type="dxa"/>
            <w:tcBorders/>
            <w:shd w:fill="CCEEFF" w:val="clear"/>
            <w:vAlign w:val="center"/>
          </w:tcPr>
          <w:p>
            <w:pPr>
              <w:pStyle w:val="TableContents"/>
              <w:bidi w:val="0"/>
              <w:spacing w:before="0" w:after="283"/>
              <w:jc w:val="left"/>
              <w:rPr/>
            </w:pPr>
            <w:r>
              <w:rPr/>
              <w:t>Accrued expenses and other payables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8,444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1,377</w:t>
            </w:r>
          </w:p>
        </w:tc>
        <w:tc>
          <w:tcPr>
            <w:tcW w:w="535" w:type="dxa"/>
            <w:tcBorders/>
            <w:shd w:fill="CCEEFF" w:val="clear"/>
            <w:vAlign w:val="center"/>
          </w:tcPr>
          <w:p>
            <w:pPr>
              <w:pStyle w:val="TableContents"/>
              <w:bidi w:val="0"/>
              <w:spacing w:before="0" w:after="283"/>
              <w:jc w:val="left"/>
              <w:rPr/>
            </w:pPr>
            <w:r>
              <w:rPr/>
              <w:t> </w:t>
            </w:r>
          </w:p>
        </w:tc>
      </w:tr>
      <w:tr>
        <w:trPr/>
        <w:tc>
          <w:tcPr>
            <w:tcW w:w="6105" w:type="dxa"/>
            <w:tcBorders/>
            <w:vAlign w:val="center"/>
          </w:tcPr>
          <w:p>
            <w:pPr>
              <w:pStyle w:val="TableContents"/>
              <w:bidi w:val="0"/>
              <w:spacing w:before="0" w:after="283"/>
              <w:jc w:val="left"/>
              <w:rPr/>
            </w:pPr>
            <w:r>
              <w:rPr/>
              <w:t>Tax payables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pPr>
            <w:r>
              <w:rPr/>
              <w:t>55</w:t>
            </w:r>
          </w:p>
        </w:tc>
        <w:tc>
          <w:tcPr>
            <w:tcW w:w="535" w:type="dxa"/>
            <w:tcBorders/>
            <w:vAlign w:val="center"/>
          </w:tcPr>
          <w:p>
            <w:pPr>
              <w:pStyle w:val="TableContents"/>
              <w:bidi w:val="0"/>
              <w:spacing w:before="0" w:after="283"/>
              <w:jc w:val="left"/>
              <w:rPr/>
            </w:pPr>
            <w:r>
              <w:rPr/>
              <w:t> </w:t>
            </w:r>
          </w:p>
        </w:tc>
      </w:tr>
      <w:tr>
        <w:trPr/>
        <w:tc>
          <w:tcPr>
            <w:tcW w:w="6105" w:type="dxa"/>
            <w:tcBorders/>
            <w:shd w:fill="CCEEFF" w:val="clear"/>
            <w:vAlign w:val="center"/>
          </w:tcPr>
          <w:p>
            <w:pPr>
              <w:pStyle w:val="TableContents"/>
              <w:bidi w:val="0"/>
              <w:spacing w:before="0" w:after="283"/>
              <w:jc w:val="left"/>
              <w:rPr/>
            </w:pPr>
            <w:r>
              <w:rPr/>
              <w:t>Operating lease liabilities, current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281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pPr>
            <w:r>
              <w:rPr/>
              <w:t>301</w:t>
            </w:r>
          </w:p>
        </w:tc>
        <w:tc>
          <w:tcPr>
            <w:tcW w:w="535" w:type="dxa"/>
            <w:tcBorders/>
            <w:shd w:fill="CCEEFF" w:val="clear"/>
            <w:vAlign w:val="center"/>
          </w:tcPr>
          <w:p>
            <w:pPr>
              <w:pStyle w:val="TableContents"/>
              <w:bidi w:val="0"/>
              <w:spacing w:before="0" w:after="283"/>
              <w:jc w:val="left"/>
              <w:rPr/>
            </w:pPr>
            <w:r>
              <w:rPr/>
              <w:t> </w:t>
            </w:r>
          </w:p>
        </w:tc>
      </w:tr>
      <w:tr>
        <w:trPr/>
        <w:tc>
          <w:tcPr>
            <w:tcW w:w="6105"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9,307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pPr>
            <w:r>
              <w:rPr/>
              <w:t>2,378</w:t>
            </w:r>
          </w:p>
        </w:tc>
        <w:tc>
          <w:tcPr>
            <w:tcW w:w="535" w:type="dxa"/>
            <w:tcBorders/>
            <w:vAlign w:val="center"/>
          </w:tcPr>
          <w:p>
            <w:pPr>
              <w:pStyle w:val="TableContents"/>
              <w:bidi w:val="0"/>
              <w:spacing w:before="0" w:after="283"/>
              <w:jc w:val="left"/>
              <w:rPr/>
            </w:pPr>
            <w:r>
              <w:rPr/>
              <w:t> </w:t>
            </w:r>
          </w:p>
        </w:tc>
      </w:tr>
      <w:tr>
        <w:trPr/>
        <w:tc>
          <w:tcPr>
            <w:tcW w:w="6105" w:type="dxa"/>
            <w:tcBorders/>
            <w:shd w:fill="CCEEFF" w:val="clear"/>
            <w:vAlign w:val="center"/>
          </w:tcPr>
          <w:p>
            <w:pPr>
              <w:pStyle w:val="TableContents"/>
              <w:bidi w:val="0"/>
              <w:spacing w:before="0" w:after="283"/>
              <w:jc w:val="left"/>
              <w:rPr/>
            </w:pPr>
            <w:r>
              <w:rPr/>
              <w:t>Long-term payables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118</w:t>
            </w:r>
          </w:p>
        </w:tc>
        <w:tc>
          <w:tcPr>
            <w:tcW w:w="535" w:type="dxa"/>
            <w:tcBorders/>
            <w:shd w:fill="CCEEFF" w:val="clear"/>
            <w:vAlign w:val="center"/>
          </w:tcPr>
          <w:p>
            <w:pPr>
              <w:pStyle w:val="TableContents"/>
              <w:bidi w:val="0"/>
              <w:spacing w:before="0" w:after="283"/>
              <w:jc w:val="left"/>
              <w:rPr/>
            </w:pPr>
            <w:r>
              <w:rPr/>
              <w:t> </w:t>
            </w:r>
          </w:p>
        </w:tc>
      </w:tr>
      <w:tr>
        <w:trPr/>
        <w:tc>
          <w:tcPr>
            <w:tcW w:w="6105" w:type="dxa"/>
            <w:tcBorders/>
            <w:vAlign w:val="center"/>
          </w:tcPr>
          <w:p>
            <w:pPr>
              <w:pStyle w:val="TableContents"/>
              <w:bidi w:val="0"/>
              <w:spacing w:before="0" w:after="283"/>
              <w:jc w:val="left"/>
              <w:rPr/>
            </w:pPr>
            <w:r>
              <w:rPr/>
              <w:t>Operating lease liabilities, non-current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326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tcMar>
              <w:bottom w:w="28" w:type="dxa"/>
            </w:tcMar>
            <w:vAlign w:val="center"/>
          </w:tcPr>
          <w:p>
            <w:pPr>
              <w:pStyle w:val="TableContents"/>
              <w:bidi w:val="0"/>
              <w:spacing w:before="0" w:after="283"/>
              <w:jc w:val="right"/>
              <w:rPr/>
            </w:pPr>
            <w:r>
              <w:rPr/>
              <w:t>429</w:t>
            </w:r>
          </w:p>
        </w:tc>
        <w:tc>
          <w:tcPr>
            <w:tcW w:w="535" w:type="dxa"/>
            <w:tcBorders/>
            <w:vAlign w:val="center"/>
          </w:tcPr>
          <w:p>
            <w:pPr>
              <w:pStyle w:val="TableContents"/>
              <w:bidi w:val="0"/>
              <w:spacing w:before="0" w:after="283"/>
              <w:jc w:val="left"/>
              <w:rPr/>
            </w:pPr>
            <w:r>
              <w:rPr/>
              <w:t> </w:t>
            </w:r>
          </w:p>
        </w:tc>
      </w:tr>
      <w:tr>
        <w:trPr/>
        <w:tc>
          <w:tcPr>
            <w:tcW w:w="6105" w:type="dxa"/>
            <w:tcBorders/>
            <w:shd w:fill="CCEEFF" w:val="clear"/>
            <w:vAlign w:val="center"/>
          </w:tcPr>
          <w:p>
            <w:pPr>
              <w:pStyle w:val="TableContents"/>
              <w:bidi w:val="0"/>
              <w:spacing w:before="0" w:after="283"/>
              <w:jc w:val="left"/>
              <w:rPr/>
            </w:pPr>
            <w:r>
              <w:rPr/>
              <w:t>Total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9,745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pPr>
            <w:r>
              <w:rPr/>
              <w:t>2,925</w:t>
            </w:r>
          </w:p>
        </w:tc>
        <w:tc>
          <w:tcPr>
            <w:tcW w:w="535" w:type="dxa"/>
            <w:tcBorders/>
            <w:shd w:fill="CCEEFF" w:val="clear"/>
            <w:vAlign w:val="center"/>
          </w:tcPr>
          <w:p>
            <w:pPr>
              <w:pStyle w:val="TableContents"/>
              <w:bidi w:val="0"/>
              <w:spacing w:before="0" w:after="283"/>
              <w:jc w:val="left"/>
              <w:rPr/>
            </w:pPr>
            <w:r>
              <w:rPr/>
              <w:t> </w:t>
            </w:r>
          </w:p>
        </w:tc>
      </w:tr>
      <w:tr>
        <w:trPr/>
        <w:tc>
          <w:tcPr>
            <w:tcW w:w="6105" w:type="dxa"/>
            <w:tcBorders/>
            <w:vAlign w:val="center"/>
          </w:tcPr>
          <w:p>
            <w:pPr>
              <w:pStyle w:val="TableContents"/>
              <w:bidi w:val="0"/>
              <w:spacing w:before="0" w:after="283"/>
              <w:jc w:val="left"/>
              <w:rPr/>
            </w:pPr>
            <w:r>
              <w:rPr/>
              <w:t>Commitments and contingencies (Notes 7)</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right"/>
              <w:rPr/>
            </w:pPr>
            <w:r>
              <w:rPr/>
              <w:t> </w:t>
            </w:r>
          </w:p>
        </w:tc>
        <w:tc>
          <w:tcPr>
            <w:tcW w:w="535" w:type="dxa"/>
            <w:tcBorders/>
            <w:vAlign w:val="center"/>
          </w:tcPr>
          <w:p>
            <w:pPr>
              <w:pStyle w:val="TableContents"/>
              <w:bidi w:val="0"/>
              <w:spacing w:before="0" w:after="283"/>
              <w:jc w:val="left"/>
              <w:rPr/>
            </w:pPr>
            <w:r>
              <w:rPr/>
              <w:t> </w:t>
            </w:r>
          </w:p>
        </w:tc>
      </w:tr>
      <w:tr>
        <w:trPr/>
        <w:tc>
          <w:tcPr>
            <w:tcW w:w="6105" w:type="dxa"/>
            <w:tcBorders/>
            <w:shd w:fill="CCEEFF" w:val="clear"/>
            <w:vAlign w:val="center"/>
          </w:tcPr>
          <w:p>
            <w:pPr>
              <w:pStyle w:val="TableContents"/>
              <w:bidi w:val="0"/>
              <w:spacing w:before="0" w:after="283"/>
              <w:jc w:val="left"/>
              <w:rPr/>
            </w:pPr>
            <w:r>
              <w:rPr/>
              <w:t>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535" w:type="dxa"/>
            <w:tcBorders/>
            <w:shd w:fill="CCEEFF" w:val="clear"/>
            <w:vAlign w:val="center"/>
          </w:tcPr>
          <w:p>
            <w:pPr>
              <w:pStyle w:val="TableContents"/>
              <w:bidi w:val="0"/>
              <w:spacing w:before="0" w:after="283"/>
              <w:ind w:left="0" w:right="0" w:hanging="180"/>
              <w:jc w:val="left"/>
              <w:rPr/>
            </w:pPr>
            <w:r>
              <w:rPr/>
              <w:t> </w:t>
            </w:r>
          </w:p>
        </w:tc>
      </w:tr>
      <w:tr>
        <w:trPr/>
        <w:tc>
          <w:tcPr>
            <w:tcW w:w="6105" w:type="dxa"/>
            <w:tcBorders/>
            <w:vAlign w:val="center"/>
          </w:tcPr>
          <w:p>
            <w:pPr>
              <w:pStyle w:val="TableContents"/>
              <w:bidi w:val="0"/>
              <w:spacing w:before="0" w:after="283"/>
              <w:jc w:val="left"/>
              <w:rPr/>
            </w:pPr>
            <w:r>
              <w:rPr/>
              <w:t>Class A common stock, $0.0001 par, 100,000,000 shares authorized as of December 31, 2025 and September 30, 2025; 39,934,846 shares issued and outstanding as of September 30, 2025 and 2025.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jc w:val="right"/>
              <w:rPr/>
            </w:pPr>
            <w:r>
              <w:rPr/>
              <w:t>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jc w:val="right"/>
              <w:rPr/>
            </w:pPr>
            <w:r>
              <w:rPr/>
              <w:t>4</w:t>
            </w:r>
          </w:p>
        </w:tc>
        <w:tc>
          <w:tcPr>
            <w:tcW w:w="535" w:type="dxa"/>
            <w:tcBorders/>
            <w:vAlign w:val="center"/>
          </w:tcPr>
          <w:p>
            <w:pPr>
              <w:pStyle w:val="TableContents"/>
              <w:bidi w:val="0"/>
              <w:spacing w:before="0" w:after="283"/>
              <w:ind w:left="0" w:right="0" w:hanging="180"/>
              <w:jc w:val="left"/>
              <w:rPr/>
            </w:pPr>
            <w:r>
              <w:rPr/>
              <w:t> </w:t>
            </w:r>
          </w:p>
        </w:tc>
      </w:tr>
      <w:tr>
        <w:trPr/>
        <w:tc>
          <w:tcPr>
            <w:tcW w:w="6105" w:type="dxa"/>
            <w:tcBorders/>
            <w:shd w:fill="CCEEFF" w:val="clear"/>
            <w:vAlign w:val="center"/>
          </w:tcPr>
          <w:p>
            <w:pPr>
              <w:pStyle w:val="TableContents"/>
              <w:bidi w:val="0"/>
              <w:spacing w:before="0" w:after="283"/>
              <w:jc w:val="left"/>
              <w:rPr/>
            </w:pPr>
            <w:r>
              <w:rPr/>
              <w:t>Class B common stock, $0.0001 par, 1,000,000,000 and 200,000,000 shares authorized as of December 31, 2025 and September 30, 2025, respectively; 174,299,223 shares and 154,656,592 shares issued and outstanding as of December 31, 2025 and September 30, 2025,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16</w:t>
            </w:r>
          </w:p>
        </w:tc>
        <w:tc>
          <w:tcPr>
            <w:tcW w:w="535" w:type="dxa"/>
            <w:tcBorders/>
            <w:shd w:fill="CCEEFF" w:val="clear"/>
            <w:vAlign w:val="center"/>
          </w:tcPr>
          <w:p>
            <w:pPr>
              <w:pStyle w:val="TableContents"/>
              <w:bidi w:val="0"/>
              <w:spacing w:before="0" w:after="283"/>
              <w:jc w:val="left"/>
              <w:rPr/>
            </w:pPr>
            <w:r>
              <w:rPr/>
              <w:t> </w:t>
            </w:r>
          </w:p>
        </w:tc>
      </w:tr>
      <w:tr>
        <w:trPr/>
        <w:tc>
          <w:tcPr>
            <w:tcW w:w="6105"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371,403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tcMar>
              <w:bottom w:w="28" w:type="dxa"/>
            </w:tcMar>
            <w:vAlign w:val="center"/>
          </w:tcPr>
          <w:p>
            <w:pPr>
              <w:pStyle w:val="TableContents"/>
              <w:bidi w:val="0"/>
              <w:spacing w:before="0" w:after="283"/>
              <w:jc w:val="right"/>
              <w:rPr/>
            </w:pPr>
            <w:r>
              <w:rPr/>
              <w:t>293,156</w:t>
            </w:r>
          </w:p>
        </w:tc>
        <w:tc>
          <w:tcPr>
            <w:tcW w:w="535" w:type="dxa"/>
            <w:tcBorders/>
            <w:vAlign w:val="center"/>
          </w:tcPr>
          <w:p>
            <w:pPr>
              <w:pStyle w:val="TableContents"/>
              <w:bidi w:val="0"/>
              <w:spacing w:before="0" w:after="283"/>
              <w:ind w:left="0" w:right="0" w:firstLine="400"/>
              <w:jc w:val="left"/>
              <w:rPr/>
            </w:pPr>
            <w:r>
              <w:rPr/>
              <w:t> </w:t>
            </w:r>
          </w:p>
        </w:tc>
      </w:tr>
      <w:tr>
        <w:trPr/>
        <w:tc>
          <w:tcPr>
            <w:tcW w:w="6105" w:type="dxa"/>
            <w:tcBorders/>
            <w:shd w:fill="CCEEFF" w:val="clear"/>
            <w:vAlign w:val="center"/>
          </w:tcPr>
          <w:p>
            <w:pPr>
              <w:pStyle w:val="TableContents"/>
              <w:bidi w:val="0"/>
              <w:spacing w:before="0" w:after="283"/>
              <w:jc w:val="left"/>
              <w:rPr/>
            </w:pPr>
            <w:r>
              <w:rPr/>
              <w:t>Accumulated other comprehensive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356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393</w:t>
            </w:r>
          </w:p>
        </w:tc>
        <w:tc>
          <w:tcPr>
            <w:tcW w:w="535" w:type="dxa"/>
            <w:tcBorders/>
            <w:shd w:fill="CCEEFF" w:val="clear"/>
            <w:vAlign w:val="center"/>
          </w:tcPr>
          <w:p>
            <w:pPr>
              <w:pStyle w:val="TableContents"/>
              <w:bidi w:val="0"/>
              <w:spacing w:before="0" w:after="283"/>
              <w:jc w:val="left"/>
              <w:rPr/>
            </w:pPr>
            <w:r>
              <w:rPr/>
              <w:t> </w:t>
            </w:r>
          </w:p>
        </w:tc>
      </w:tr>
      <w:tr>
        <w:trPr/>
        <w:tc>
          <w:tcPr>
            <w:tcW w:w="6105" w:type="dxa"/>
            <w:tcBorders/>
            <w:vAlign w:val="center"/>
          </w:tcPr>
          <w:p>
            <w:pPr>
              <w:pStyle w:val="TableContents"/>
              <w:bidi w:val="0"/>
              <w:spacing w:before="0" w:after="283"/>
              <w:jc w:val="left"/>
              <w:rPr/>
            </w:pPr>
            <w:r>
              <w:rPr/>
              <w:t>Retained earnings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(32,095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tcMar>
              <w:bottom w:w="28" w:type="dxa"/>
            </w:tcMar>
            <w:vAlign w:val="center"/>
          </w:tcPr>
          <w:p>
            <w:pPr>
              <w:pStyle w:val="TableContents"/>
              <w:bidi w:val="0"/>
              <w:spacing w:before="0" w:after="283"/>
              <w:jc w:val="right"/>
              <w:rPr/>
            </w:pPr>
            <w:r>
              <w:rPr/>
              <w:t>(23,693</w:t>
            </w:r>
          </w:p>
        </w:tc>
        <w:tc>
          <w:tcPr>
            <w:tcW w:w="535" w:type="dxa"/>
            <w:tcBorders/>
            <w:vAlign w:val="center"/>
          </w:tcPr>
          <w:p>
            <w:pPr>
              <w:pStyle w:val="TableContents"/>
              <w:bidi w:val="0"/>
              <w:spacing w:before="0" w:after="283"/>
              <w:jc w:val="left"/>
              <w:rPr/>
            </w:pPr>
            <w:r>
              <w:rPr/>
              <w:t>)</w:t>
            </w:r>
          </w:p>
        </w:tc>
      </w:tr>
      <w:tr>
        <w:trPr/>
        <w:tc>
          <w:tcPr>
            <w:tcW w:w="6105" w:type="dxa"/>
            <w:tcBorders/>
            <w:shd w:fill="CCEEFF" w:val="clear"/>
            <w:vAlign w:val="center"/>
          </w:tcPr>
          <w:p>
            <w:pPr>
              <w:pStyle w:val="TableContents"/>
              <w:bidi w:val="0"/>
              <w:spacing w:before="0" w:after="283"/>
              <w:jc w:val="left"/>
              <w:rPr/>
            </w:pPr>
            <w:r>
              <w:rPr/>
              <w:t>Total controlling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339,686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269,876</w:t>
            </w:r>
          </w:p>
        </w:tc>
        <w:tc>
          <w:tcPr>
            <w:tcW w:w="535" w:type="dxa"/>
            <w:tcBorders/>
            <w:shd w:fill="CCEEFF" w:val="clear"/>
            <w:vAlign w:val="center"/>
          </w:tcPr>
          <w:p>
            <w:pPr>
              <w:pStyle w:val="TableContents"/>
              <w:bidi w:val="0"/>
              <w:spacing w:before="0" w:after="283"/>
              <w:jc w:val="left"/>
              <w:rPr/>
            </w:pPr>
            <w:r>
              <w:rPr/>
              <w:t> </w:t>
            </w:r>
          </w:p>
        </w:tc>
      </w:tr>
      <w:tr>
        <w:trPr/>
        <w:tc>
          <w:tcPr>
            <w:tcW w:w="6105" w:type="dxa"/>
            <w:tcBorders/>
            <w:vAlign w:val="center"/>
          </w:tcPr>
          <w:p>
            <w:pPr>
              <w:pStyle w:val="TableContents"/>
              <w:bidi w:val="0"/>
              <w:spacing w:before="0" w:after="283"/>
              <w:jc w:val="left"/>
              <w:rPr/>
            </w:pPr>
            <w:r>
              <w:rPr/>
              <w:t>Non-controlling interests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(47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pPr>
            <w:r>
              <w:rPr/>
              <w:t>(43</w:t>
            </w:r>
          </w:p>
        </w:tc>
        <w:tc>
          <w:tcPr>
            <w:tcW w:w="535" w:type="dxa"/>
            <w:tcBorders/>
            <w:vAlign w:val="center"/>
          </w:tcPr>
          <w:p>
            <w:pPr>
              <w:pStyle w:val="TableContents"/>
              <w:bidi w:val="0"/>
              <w:spacing w:before="0" w:after="283"/>
              <w:jc w:val="left"/>
              <w:rPr/>
            </w:pPr>
            <w:r>
              <w:rPr/>
              <w:t>)</w:t>
            </w:r>
          </w:p>
        </w:tc>
      </w:tr>
      <w:tr>
        <w:trPr/>
        <w:tc>
          <w:tcPr>
            <w:tcW w:w="6105" w:type="dxa"/>
            <w:tcBorders/>
            <w:shd w:fill="CCEEFF" w:val="clear"/>
            <w:vAlign w:val="center"/>
          </w:tcPr>
          <w:p>
            <w:pPr>
              <w:pStyle w:val="TableContents"/>
              <w:bidi w:val="0"/>
              <w:spacing w:before="0" w:after="283"/>
              <w:jc w:val="left"/>
              <w:rPr/>
            </w:pPr>
            <w:r>
              <w:rPr/>
              <w:t>Total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339,639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pPr>
            <w:r>
              <w:rPr/>
              <w:t>269,833</w:t>
            </w:r>
          </w:p>
        </w:tc>
        <w:tc>
          <w:tcPr>
            <w:tcW w:w="535" w:type="dxa"/>
            <w:tcBorders/>
            <w:shd w:fill="CCEEFF" w:val="clear"/>
            <w:vAlign w:val="center"/>
          </w:tcPr>
          <w:p>
            <w:pPr>
              <w:pStyle w:val="TableContents"/>
              <w:bidi w:val="0"/>
              <w:spacing w:before="0" w:after="283"/>
              <w:jc w:val="left"/>
              <w:rPr/>
            </w:pPr>
            <w:r>
              <w:rPr/>
              <w:t> </w:t>
            </w:r>
          </w:p>
        </w:tc>
      </w:tr>
      <w:tr>
        <w:trPr/>
        <w:tc>
          <w:tcPr>
            <w:tcW w:w="6105" w:type="dxa"/>
            <w:tcBorders/>
            <w:vAlign w:val="center"/>
          </w:tcPr>
          <w:p>
            <w:pPr>
              <w:pStyle w:val="TableContents"/>
              <w:bidi w:val="0"/>
              <w:spacing w:before="0" w:after="283"/>
              <w:jc w:val="left"/>
              <w:rPr/>
            </w:pPr>
            <w:r>
              <w:rPr/>
              <w:t>Total liabilities and stockholders’ equity</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349,384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490" w:type="dxa"/>
            <w:tcBorders>
              <w:bottom w:val="single" w:sz="12" w:space="0" w:color="000000"/>
            </w:tcBorders>
            <w:tcMar>
              <w:bottom w:w="28" w:type="dxa"/>
            </w:tcMar>
            <w:vAlign w:val="center"/>
          </w:tcPr>
          <w:p>
            <w:pPr>
              <w:pStyle w:val="TableContents"/>
              <w:bidi w:val="0"/>
              <w:spacing w:before="0" w:after="283"/>
              <w:jc w:val="right"/>
              <w:rPr/>
            </w:pPr>
            <w:r>
              <w:rPr/>
              <w:t>272,758</w:t>
            </w:r>
          </w:p>
        </w:tc>
        <w:tc>
          <w:tcPr>
            <w:tcW w:w="5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k_004"/>
      <w:bookmarkEnd w:id="5"/>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10"/>
        <w:gridCol w:w="90"/>
        <w:gridCol w:w="170"/>
        <w:gridCol w:w="1250"/>
        <w:gridCol w:w="125"/>
        <w:gridCol w:w="90"/>
        <w:gridCol w:w="170"/>
        <w:gridCol w:w="1130"/>
        <w:gridCol w:w="170"/>
      </w:tblGrid>
      <w:tr>
        <w:trPr/>
        <w:tc>
          <w:tcPr>
            <w:tcW w:w="7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Revenue,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1,147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1,257</w:t>
            </w:r>
          </w:p>
        </w:tc>
        <w:tc>
          <w:tcPr>
            <w:tcW w:w="170" w:type="dxa"/>
            <w:tcBorders/>
            <w:shd w:fill="CCEEFF" w:val="clear"/>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Cost of revenue, net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547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123</w:t>
            </w:r>
          </w:p>
        </w:tc>
        <w:tc>
          <w:tcPr>
            <w:tcW w:w="17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600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1,134</w:t>
            </w:r>
          </w:p>
        </w:tc>
        <w:tc>
          <w:tcPr>
            <w:tcW w:w="170" w:type="dxa"/>
            <w:tcBorders/>
            <w:shd w:fill="CCEEFF" w:val="clear"/>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Research and development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484</w:t>
            </w:r>
          </w:p>
        </w:tc>
        <w:tc>
          <w:tcPr>
            <w:tcW w:w="17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Sales and marketing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245</w:t>
            </w:r>
          </w:p>
        </w:tc>
        <w:tc>
          <w:tcPr>
            <w:tcW w:w="170" w:type="dxa"/>
            <w:tcBorders/>
            <w:shd w:fill="CCEEFF" w:val="clear"/>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General and administrative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11,773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4,303</w:t>
            </w:r>
          </w:p>
        </w:tc>
        <w:tc>
          <w:tcPr>
            <w:tcW w:w="17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12,409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5,032</w:t>
            </w:r>
          </w:p>
        </w:tc>
        <w:tc>
          <w:tcPr>
            <w:tcW w:w="170" w:type="dxa"/>
            <w:tcBorders/>
            <w:shd w:fill="CCEEFF" w:val="clear"/>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Income (loss) from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(11,809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(3,898</w:t>
            </w:r>
          </w:p>
        </w:tc>
        <w:tc>
          <w:tcPr>
            <w:tcW w:w="170" w:type="dxa"/>
            <w:tcBorders/>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pPr>
            <w:r>
              <w:rPr/>
              <w:t>Non-operating income(expense):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Investment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3,401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333</w:t>
            </w:r>
          </w:p>
        </w:tc>
        <w:tc>
          <w:tcPr>
            <w:tcW w:w="17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Interest expense,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170" w:type="dxa"/>
            <w:tcBorders/>
            <w:shd w:fill="CCEEFF" w:val="clear"/>
            <w:vAlign w:val="center"/>
          </w:tcPr>
          <w:p>
            <w:pPr>
              <w:pStyle w:val="TableContents"/>
              <w:bidi w:val="0"/>
              <w:spacing w:before="0" w:after="283"/>
              <w:jc w:val="left"/>
              <w:rPr/>
            </w:pPr>
            <w:r>
              <w:rPr/>
              <w:t>)</w:t>
            </w:r>
          </w:p>
        </w:tc>
      </w:tr>
      <w:tr>
        <w:trPr/>
        <w:tc>
          <w:tcPr>
            <w:tcW w:w="7010" w:type="dxa"/>
            <w:tcBorders/>
            <w:vAlign w:val="center"/>
          </w:tcPr>
          <w:p>
            <w:pPr>
              <w:pStyle w:val="TableContents"/>
              <w:bidi w:val="0"/>
              <w:spacing w:before="0" w:after="283"/>
              <w:jc w:val="left"/>
              <w:rPr/>
            </w:pPr>
            <w:r>
              <w:rPr/>
              <w:t>Total other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3,399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329</w:t>
            </w:r>
          </w:p>
        </w:tc>
        <w:tc>
          <w:tcPr>
            <w:tcW w:w="17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Loss before income tax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(8,410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(3,569</w:t>
            </w:r>
          </w:p>
        </w:tc>
        <w:tc>
          <w:tcPr>
            <w:tcW w:w="170" w:type="dxa"/>
            <w:tcBorders/>
            <w:shd w:fill="CCEEFF" w:val="clear"/>
            <w:vAlign w:val="center"/>
          </w:tcPr>
          <w:p>
            <w:pPr>
              <w:pStyle w:val="TableContents"/>
              <w:bidi w:val="0"/>
              <w:spacing w:before="0" w:after="283"/>
              <w:jc w:val="left"/>
              <w:rPr/>
            </w:pPr>
            <w:r>
              <w:rPr/>
              <w:t>)</w:t>
            </w:r>
          </w:p>
        </w:tc>
      </w:tr>
      <w:tr>
        <w:trPr/>
        <w:tc>
          <w:tcPr>
            <w:tcW w:w="7010" w:type="dxa"/>
            <w:tcBorders/>
            <w:vAlign w:val="center"/>
          </w:tcPr>
          <w:p>
            <w:pPr>
              <w:pStyle w:val="TableContents"/>
              <w:bidi w:val="0"/>
              <w:spacing w:before="0" w:after="283"/>
              <w:jc w:val="left"/>
              <w:rPr/>
            </w:pPr>
            <w:r>
              <w:rPr/>
              <w:t>Income tax benefit/(expense)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b/>
              </w:rPr>
            </w:pPr>
            <w:r>
              <w:rPr>
                <w:b/>
              </w:rPr>
              <w:t>-</w:t>
            </w:r>
          </w:p>
        </w:tc>
        <w:tc>
          <w:tcPr>
            <w:tcW w:w="17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Consolidated 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(8,410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(3,569</w:t>
            </w:r>
          </w:p>
        </w:tc>
        <w:tc>
          <w:tcPr>
            <w:tcW w:w="170" w:type="dxa"/>
            <w:tcBorders/>
            <w:shd w:fill="CCEEFF" w:val="clear"/>
            <w:vAlign w:val="center"/>
          </w:tcPr>
          <w:p>
            <w:pPr>
              <w:pStyle w:val="TableContents"/>
              <w:bidi w:val="0"/>
              <w:spacing w:before="0" w:after="283"/>
              <w:jc w:val="left"/>
              <w:rPr/>
            </w:pPr>
            <w:r>
              <w:rPr/>
              <w:t>)</w:t>
            </w:r>
          </w:p>
        </w:tc>
      </w:tr>
      <w:tr>
        <w:trPr/>
        <w:tc>
          <w:tcPr>
            <w:tcW w:w="7010" w:type="dxa"/>
            <w:tcBorders/>
            <w:vAlign w:val="center"/>
          </w:tcPr>
          <w:p>
            <w:pPr>
              <w:pStyle w:val="TableContents"/>
              <w:bidi w:val="0"/>
              <w:spacing w:before="0" w:after="283"/>
              <w:jc w:val="left"/>
              <w:rPr/>
            </w:pPr>
            <w:r>
              <w:rPr/>
              <w:t>Less: Net loss attributable to non-controlling interest (“NCI”)</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(21</w:t>
            </w:r>
          </w:p>
        </w:tc>
        <w:tc>
          <w:tcPr>
            <w:tcW w:w="170" w:type="dxa"/>
            <w:tcBorders/>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(8,402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(3,548</w:t>
            </w:r>
          </w:p>
        </w:tc>
        <w:tc>
          <w:tcPr>
            <w:tcW w:w="170" w:type="dxa"/>
            <w:tcBorders/>
            <w:shd w:fill="CCEEFF" w:val="clear"/>
            <w:vAlign w:val="center"/>
          </w:tcPr>
          <w:p>
            <w:pPr>
              <w:pStyle w:val="TableContents"/>
              <w:bidi w:val="0"/>
              <w:spacing w:before="0" w:after="283"/>
              <w:jc w:val="left"/>
              <w:rPr/>
            </w:pPr>
            <w:r>
              <w:rPr/>
              <w:t>)</w:t>
            </w:r>
          </w:p>
        </w:tc>
      </w:tr>
      <w:tr>
        <w:trPr/>
        <w:tc>
          <w:tcPr>
            <w:tcW w:w="7010" w:type="dxa"/>
            <w:tcBorders/>
            <w:vAlign w:val="center"/>
          </w:tcPr>
          <w:p>
            <w:pPr>
              <w:pStyle w:val="TableContents"/>
              <w:bidi w:val="0"/>
              <w:spacing w:before="0" w:after="283"/>
              <w:jc w:val="left"/>
              <w:rPr/>
            </w:pPr>
            <w:r>
              <w:rPr/>
              <w:t>Net loss attributable to common stockholders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(8,402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(3,548</w:t>
            </w:r>
          </w:p>
        </w:tc>
        <w:tc>
          <w:tcPr>
            <w:tcW w:w="170" w:type="dxa"/>
            <w:tcBorders/>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pPr>
            <w:r>
              <w:rPr/>
              <w:t>Basic and diluted net loss per share of common stock</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(0.04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(0.04</w:t>
            </w:r>
          </w:p>
        </w:tc>
        <w:tc>
          <w:tcPr>
            <w:tcW w:w="170" w:type="dxa"/>
            <w:tcBorders/>
            <w:shd w:fill="CCEEFF" w:val="clear"/>
            <w:vAlign w:val="center"/>
          </w:tcPr>
          <w:p>
            <w:pPr>
              <w:pStyle w:val="TableContents"/>
              <w:bidi w:val="0"/>
              <w:spacing w:before="0" w:after="283"/>
              <w:jc w:val="left"/>
              <w:rPr/>
            </w:pPr>
            <w:r>
              <w:rPr/>
              <w:t>)</w:t>
            </w:r>
          </w:p>
        </w:tc>
      </w:tr>
      <w:tr>
        <w:trPr/>
        <w:tc>
          <w:tcPr>
            <w:tcW w:w="7010" w:type="dxa"/>
            <w:tcBorders/>
            <w:vAlign w:val="center"/>
          </w:tcPr>
          <w:p>
            <w:pPr>
              <w:pStyle w:val="TableContents"/>
              <w:bidi w:val="0"/>
              <w:spacing w:before="0" w:after="283"/>
              <w:jc w:val="left"/>
              <w:rPr/>
            </w:pPr>
            <w:r>
              <w:rPr/>
              <w:t>Weighted average shares used to compute basic and diluted net loss per share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197,731,671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95,785,054</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k_005"/>
      <w:bookmarkEnd w:id="6"/>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6485" w:type="dxa"/>
        <w:jc w:val="left"/>
        <w:tblInd w:w="0" w:type="dxa"/>
        <w:tblLayout w:type="fixed"/>
        <w:tblCellMar>
          <w:top w:w="0" w:type="dxa"/>
          <w:left w:w="0" w:type="dxa"/>
          <w:bottom w:w="0" w:type="dxa"/>
          <w:right w:w="0" w:type="dxa"/>
        </w:tblCellMar>
      </w:tblPr>
      <w:tblGrid>
        <w:gridCol w:w="4340"/>
        <w:gridCol w:w="90"/>
        <w:gridCol w:w="170"/>
        <w:gridCol w:w="665"/>
        <w:gridCol w:w="125"/>
        <w:gridCol w:w="90"/>
        <w:gridCol w:w="170"/>
        <w:gridCol w:w="665"/>
        <w:gridCol w:w="170"/>
      </w:tblGrid>
      <w:tr>
        <w:trPr/>
        <w:tc>
          <w:tcPr>
            <w:tcW w:w="43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(8,402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(3,548</w:t>
            </w:r>
          </w:p>
        </w:tc>
        <w:tc>
          <w:tcPr>
            <w:tcW w:w="170" w:type="dxa"/>
            <w:tcBorders/>
            <w:shd w:fill="CCEEFF" w:val="clear"/>
            <w:vAlign w:val="center"/>
          </w:tcPr>
          <w:p>
            <w:pPr>
              <w:pStyle w:val="TableContents"/>
              <w:bidi w:val="0"/>
              <w:spacing w:before="0" w:after="283"/>
              <w:jc w:val="left"/>
              <w:rPr/>
            </w:pPr>
            <w:r>
              <w:rPr/>
              <w:t>)</w:t>
            </w:r>
          </w:p>
        </w:tc>
      </w:tr>
      <w:tr>
        <w:trPr/>
        <w:tc>
          <w:tcPr>
            <w:tcW w:w="4340" w:type="dxa"/>
            <w:tcBorders/>
            <w:vAlign w:val="center"/>
          </w:tcPr>
          <w:p>
            <w:pPr>
              <w:pStyle w:val="TableContents"/>
              <w:bidi w:val="0"/>
              <w:spacing w:before="0" w:after="283"/>
              <w:jc w:val="left"/>
              <w:rPr/>
            </w:pPr>
            <w:r>
              <w:rPr/>
              <w:t>Other comprehensive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Unrealized net loss on investments, net of tax</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Comprehensive loss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tcMar>
              <w:bottom w:w="28" w:type="dxa"/>
            </w:tcMar>
            <w:vAlign w:val="center"/>
          </w:tcPr>
          <w:p>
            <w:pPr>
              <w:pStyle w:val="TableContents"/>
              <w:bidi w:val="0"/>
              <w:spacing w:before="0" w:after="283"/>
              <w:jc w:val="right"/>
              <w:rPr/>
            </w:pPr>
            <w:r>
              <w:rPr/>
              <w:t>(8,439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tcMar>
              <w:bottom w:w="28" w:type="dxa"/>
            </w:tcMar>
            <w:vAlign w:val="center"/>
          </w:tcPr>
          <w:p>
            <w:pPr>
              <w:pStyle w:val="TableContents"/>
              <w:bidi w:val="0"/>
              <w:spacing w:before="0" w:after="283"/>
              <w:jc w:val="right"/>
              <w:rPr/>
            </w:pPr>
            <w:r>
              <w:rPr/>
              <w:t>(3,548</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k_006"/>
      <w:bookmarkEnd w:id="7"/>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13370" w:type="dxa"/>
        <w:jc w:val="left"/>
        <w:tblInd w:w="0" w:type="dxa"/>
        <w:tblLayout w:type="fixed"/>
        <w:tblCellMar>
          <w:top w:w="0" w:type="dxa"/>
          <w:left w:w="0" w:type="dxa"/>
          <w:bottom w:w="0" w:type="dxa"/>
          <w:right w:w="0" w:type="dxa"/>
        </w:tblCellMar>
      </w:tblPr>
      <w:tblGrid>
        <w:gridCol w:w="2165"/>
        <w:gridCol w:w="90"/>
        <w:gridCol w:w="90"/>
        <w:gridCol w:w="980"/>
        <w:gridCol w:w="90"/>
        <w:gridCol w:w="90"/>
        <w:gridCol w:w="119"/>
        <w:gridCol w:w="606"/>
        <w:gridCol w:w="90"/>
        <w:gridCol w:w="90"/>
        <w:gridCol w:w="90"/>
        <w:gridCol w:w="1085"/>
        <w:gridCol w:w="90"/>
        <w:gridCol w:w="90"/>
        <w:gridCol w:w="186"/>
        <w:gridCol w:w="539"/>
        <w:gridCol w:w="90"/>
        <w:gridCol w:w="90"/>
        <w:gridCol w:w="104"/>
        <w:gridCol w:w="846"/>
        <w:gridCol w:w="90"/>
        <w:gridCol w:w="90"/>
        <w:gridCol w:w="270"/>
        <w:gridCol w:w="1100"/>
        <w:gridCol w:w="110"/>
        <w:gridCol w:w="90"/>
        <w:gridCol w:w="141"/>
        <w:gridCol w:w="1079"/>
        <w:gridCol w:w="110"/>
        <w:gridCol w:w="90"/>
        <w:gridCol w:w="90"/>
        <w:gridCol w:w="620"/>
        <w:gridCol w:w="110"/>
        <w:gridCol w:w="90"/>
        <w:gridCol w:w="90"/>
        <w:gridCol w:w="1445"/>
        <w:gridCol w:w="135"/>
      </w:tblGrid>
      <w:tr>
        <w:trPr/>
        <w:tc>
          <w:tcPr>
            <w:tcW w:w="216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4235" w:type="dxa"/>
            <w:gridSpan w:val="14"/>
            <w:tcBorders>
              <w:bottom w:val="single" w:sz="12" w:space="0" w:color="000000"/>
            </w:tcBorders>
            <w:tcMar>
              <w:bottom w:w="28" w:type="dxa"/>
            </w:tcMar>
            <w:vAlign w:val="center"/>
          </w:tcPr>
          <w:p>
            <w:pPr>
              <w:pStyle w:val="TableContents"/>
              <w:bidi w:val="0"/>
              <w:spacing w:before="0" w:after="283"/>
              <w:jc w:val="center"/>
              <w:rPr>
                <w:b/>
                <w:sz w:val="20"/>
              </w:rPr>
            </w:pPr>
            <w:r>
              <w:rPr>
                <w:b/>
                <w:sz w:val="20"/>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sz w:val="20"/>
              </w:rPr>
            </w:pPr>
            <w:r>
              <w:rPr>
                <w:b/>
                <w:sz w:val="20"/>
              </w:rPr>
              <w:t>Additional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sz w:val="20"/>
              </w:rPr>
            </w:pPr>
            <w:r>
              <w:rPr>
                <w:b/>
                <w:sz w:val="20"/>
              </w:rPr>
              <w:t>Accumulated</w:t>
              <w:br/>
              <w:t>Other</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sz w:val="20"/>
              </w:rPr>
            </w:pPr>
            <w:r>
              <w:rPr>
                <w:b/>
                <w:sz w:val="20"/>
              </w:rPr>
              <w:t>Retained</w:t>
              <w:br/>
              <w:t>earnings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sz w:val="20"/>
              </w:rPr>
            </w:pPr>
            <w:r>
              <w:rPr>
                <w:b/>
                <w:sz w:val="20"/>
              </w:rPr>
              <w:t>Total</w:t>
            </w:r>
          </w:p>
        </w:tc>
        <w:tc>
          <w:tcPr>
            <w:tcW w:w="135" w:type="dxa"/>
            <w:tcBorders/>
            <w:vAlign w:val="center"/>
          </w:tcPr>
          <w:p>
            <w:pPr>
              <w:pStyle w:val="TableContents"/>
              <w:bidi w:val="0"/>
              <w:spacing w:before="0" w:after="283"/>
              <w:ind w:left="0" w:right="0" w:hanging="180"/>
              <w:jc w:val="left"/>
              <w:rPr/>
            </w:pPr>
            <w:r>
              <w:rPr/>
              <w:t> </w:t>
            </w:r>
          </w:p>
        </w:tc>
      </w:tr>
      <w:tr>
        <w:trPr/>
        <w:tc>
          <w:tcPr>
            <w:tcW w:w="2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5"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Class 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0"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Class 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sz w:val="20"/>
              </w:rPr>
            </w:pPr>
            <w:r>
              <w:rPr>
                <w:b/>
                <w:sz w:val="20"/>
              </w:rP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sz w:val="20"/>
              </w:rPr>
            </w:pPr>
            <w:r>
              <w:rPr>
                <w:b/>
                <w:sz w:val="20"/>
              </w:rPr>
              <w:t>Comprehensive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sz w:val="20"/>
              </w:rPr>
            </w:pPr>
            <w:r>
              <w:rPr>
                <w:b/>
                <w:sz w:val="20"/>
              </w:rPr>
              <w:t>(Accumulated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sz w:val="20"/>
              </w:rPr>
            </w:pPr>
            <w:r>
              <w:rPr>
                <w:b/>
                <w:sz w:val="20"/>
              </w:rPr>
              <w:t>Shareholders’</w:t>
            </w:r>
          </w:p>
        </w:tc>
        <w:tc>
          <w:tcPr>
            <w:tcW w:w="135" w:type="dxa"/>
            <w:tcBorders/>
            <w:vAlign w:val="center"/>
          </w:tcPr>
          <w:p>
            <w:pPr>
              <w:pStyle w:val="TableContents"/>
              <w:bidi w:val="0"/>
              <w:spacing w:before="0" w:after="283"/>
              <w:ind w:left="0" w:right="0" w:hanging="180"/>
              <w:jc w:val="left"/>
              <w:rPr/>
            </w:pPr>
            <w:r>
              <w:rPr/>
              <w:t> </w:t>
            </w:r>
          </w:p>
        </w:tc>
      </w:tr>
      <w:tr>
        <w:trPr/>
        <w:tc>
          <w:tcPr>
            <w:tcW w:w="2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Income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deficit)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NCI</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equity</w:t>
            </w:r>
          </w:p>
        </w:tc>
        <w:tc>
          <w:tcPr>
            <w:tcW w:w="135" w:type="dxa"/>
            <w:tcBorders/>
            <w:vAlign w:val="center"/>
          </w:tcPr>
          <w:p>
            <w:pPr>
              <w:pStyle w:val="TableContents"/>
              <w:bidi w:val="0"/>
              <w:spacing w:before="0" w:after="283"/>
              <w:ind w:left="0" w:right="0" w:hanging="180"/>
              <w:jc w:val="left"/>
              <w:rPr/>
            </w:pPr>
            <w:r>
              <w:rPr/>
              <w:t> </w:t>
            </w:r>
          </w:p>
        </w:tc>
      </w:tr>
      <w:tr>
        <w:trPr/>
        <w:tc>
          <w:tcPr>
            <w:tcW w:w="2165" w:type="dxa"/>
            <w:tcBorders/>
            <w:shd w:fill="CCEEFF" w:val="clear"/>
            <w:vAlign w:val="center"/>
          </w:tcPr>
          <w:p>
            <w:pPr>
              <w:pStyle w:val="TableContents"/>
              <w:bidi w:val="0"/>
              <w:spacing w:before="0" w:after="283"/>
              <w:jc w:val="left"/>
              <w:rPr>
                <w:sz w:val="20"/>
              </w:rPr>
            </w:pPr>
            <w:r>
              <w:rPr>
                <w:sz w:val="20"/>
              </w:rPr>
              <w:t>Balance at September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39,934,846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6"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sz w:val="20"/>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154,656,592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9"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6"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293,156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393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(23,693</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sz w:val="20"/>
              </w:rPr>
              <w:t>(43</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sz w:val="20"/>
              </w:rPr>
              <w:t>269,833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165" w:type="dxa"/>
            <w:tcBorders/>
            <w:vAlign w:val="center"/>
          </w:tcPr>
          <w:p>
            <w:pPr>
              <w:pStyle w:val="TableContents"/>
              <w:bidi w:val="0"/>
              <w:spacing w:before="0" w:after="283"/>
              <w:jc w:val="left"/>
              <w:rPr>
                <w:sz w:val="20"/>
              </w:rPr>
            </w:pPr>
            <w:r>
              <w:rPr>
                <w:sz w:val="20"/>
              </w:rPr>
              <w:t>Issuance of shares upon exercise of warrants for cash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sz w:val="20"/>
              </w:rPr>
            </w:pPr>
            <w:r>
              <w:rPr>
                <w:sz w:val="20"/>
              </w:rPr>
              <w:t>4,485,946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right"/>
              <w:rPr>
                <w:sz w:val="20"/>
              </w:rPr>
            </w:pPr>
            <w:r>
              <w:rPr>
                <w:sz w:val="20"/>
              </w:rPr>
              <w:t>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sz w:val="20"/>
              </w:rPr>
            </w:pPr>
            <w:r>
              <w:rPr>
                <w:sz w:val="20"/>
              </w:rPr>
              <w:t>9,184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b/>
              </w:rPr>
            </w:pPr>
            <w:r>
              <w:rPr>
                <w:b/>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b/>
              </w:rPr>
            </w:pPr>
            <w:r>
              <w:rPr>
                <w:b/>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sz w:val="20"/>
              </w:rPr>
            </w:pPr>
            <w:r>
              <w:rPr>
                <w:sz w:val="20"/>
              </w:rPr>
              <w:t>9,184</w:t>
            </w:r>
          </w:p>
        </w:tc>
        <w:tc>
          <w:tcPr>
            <w:tcW w:w="135" w:type="dxa"/>
            <w:tcBorders/>
            <w:vAlign w:val="center"/>
          </w:tcPr>
          <w:p>
            <w:pPr>
              <w:pStyle w:val="TableContents"/>
              <w:bidi w:val="0"/>
              <w:spacing w:before="0" w:after="283"/>
              <w:ind w:left="0" w:right="0" w:hanging="180"/>
              <w:jc w:val="left"/>
              <w:rPr/>
            </w:pPr>
            <w:r>
              <w:rPr/>
              <w:t> </w:t>
            </w:r>
          </w:p>
        </w:tc>
      </w:tr>
      <w:tr>
        <w:trPr/>
        <w:tc>
          <w:tcPr>
            <w:tcW w:w="2165" w:type="dxa"/>
            <w:tcBorders/>
            <w:shd w:fill="CCEEFF" w:val="clear"/>
            <w:vAlign w:val="center"/>
          </w:tcPr>
          <w:p>
            <w:pPr>
              <w:pStyle w:val="TableContents"/>
              <w:bidi w:val="0"/>
              <w:spacing w:before="0" w:after="283"/>
              <w:jc w:val="left"/>
              <w:rPr>
                <w:sz w:val="20"/>
              </w:rPr>
            </w:pPr>
            <w:r>
              <w:rPr>
                <w:sz w:val="20"/>
              </w:rPr>
              <w:t>Issuance of new shares for cash</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20"/>
              </w:rPr>
            </w:pPr>
            <w:r>
              <w:rPr>
                <w:sz w:val="20"/>
              </w:rPr>
              <w:t>15,156,685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sz w:val="20"/>
              </w:rPr>
            </w:pPr>
            <w:r>
              <w:rPr>
                <w:sz w:val="20"/>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sz w:val="20"/>
              </w:rPr>
            </w:pPr>
            <w:r>
              <w:rPr>
                <w:sz w:val="20"/>
              </w:rPr>
              <w:t>69,063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sz w:val="20"/>
              </w:rPr>
            </w:pPr>
            <w:r>
              <w:rPr>
                <w:sz w:val="20"/>
              </w:rPr>
              <w:t>69,065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165" w:type="dxa"/>
            <w:tcBorders/>
            <w:vAlign w:val="center"/>
          </w:tcPr>
          <w:p>
            <w:pPr>
              <w:pStyle w:val="TableContents"/>
              <w:bidi w:val="0"/>
              <w:spacing w:before="0" w:after="283"/>
              <w:jc w:val="left"/>
              <w:rPr>
                <w:sz w:val="20"/>
              </w:rPr>
            </w:pPr>
            <w:r>
              <w:rPr>
                <w:sz w:val="20"/>
              </w:rPr>
              <w:t>Net loss attributable to NCI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sz w:val="20"/>
              </w:rPr>
            </w:pPr>
            <w:r>
              <w:rPr>
                <w:sz w:val="20"/>
              </w:rPr>
              <w:t>(8</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sz w:val="20"/>
              </w:rPr>
            </w:pPr>
            <w:r>
              <w:rPr>
                <w:sz w:val="20"/>
              </w:rPr>
              <w:t>(8</w:t>
            </w:r>
          </w:p>
        </w:tc>
        <w:tc>
          <w:tcPr>
            <w:tcW w:w="135" w:type="dxa"/>
            <w:tcBorders/>
            <w:vAlign w:val="center"/>
          </w:tcPr>
          <w:p>
            <w:pPr>
              <w:pStyle w:val="TableContents"/>
              <w:bidi w:val="0"/>
              <w:spacing w:before="0" w:after="283"/>
              <w:ind w:left="0" w:right="0" w:hanging="180"/>
              <w:jc w:val="left"/>
              <w:rPr>
                <w:sz w:val="20"/>
              </w:rPr>
            </w:pPr>
            <w:r>
              <w:rPr>
                <w:sz w:val="20"/>
              </w:rPr>
              <w:t>)</w:t>
            </w:r>
          </w:p>
        </w:tc>
      </w:tr>
      <w:tr>
        <w:trPr/>
        <w:tc>
          <w:tcPr>
            <w:tcW w:w="2165" w:type="dxa"/>
            <w:tcBorders/>
            <w:shd w:fill="CCEEFF" w:val="clear"/>
            <w:vAlign w:val="center"/>
          </w:tcPr>
          <w:p>
            <w:pPr>
              <w:pStyle w:val="TableContents"/>
              <w:bidi w:val="0"/>
              <w:spacing w:before="0" w:after="283"/>
              <w:jc w:val="left"/>
              <w:rPr>
                <w:sz w:val="20"/>
              </w:rPr>
            </w:pPr>
            <w:r>
              <w:rPr>
                <w:sz w:val="20"/>
              </w:rPr>
              <w:t>Capital contribution from NCI</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sz w:val="20"/>
              </w:rPr>
            </w:pPr>
            <w:r>
              <w:rPr>
                <w:sz w:val="20"/>
              </w:rPr>
              <w:t>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sz w:val="20"/>
              </w:rPr>
            </w:pPr>
            <w:r>
              <w:rPr>
                <w:sz w:val="20"/>
              </w:rPr>
              <w:t>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165" w:type="dxa"/>
            <w:tcBorders/>
            <w:vAlign w:val="center"/>
          </w:tcPr>
          <w:p>
            <w:pPr>
              <w:pStyle w:val="TableContents"/>
              <w:bidi w:val="0"/>
              <w:spacing w:before="0" w:after="283"/>
              <w:jc w:val="left"/>
              <w:rPr>
                <w:sz w:val="20"/>
              </w:rPr>
            </w:pPr>
            <w:r>
              <w:rPr>
                <w:sz w:val="20"/>
              </w:rPr>
              <w:t>Other comprehensive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sz w:val="20"/>
              </w:rPr>
            </w:pPr>
            <w:r>
              <w:rPr>
                <w:sz w:val="20"/>
              </w:rPr>
              <w:t>(37</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sz w:val="20"/>
              </w:rPr>
            </w:pPr>
            <w:r>
              <w:rPr>
                <w:sz w:val="20"/>
              </w:rPr>
              <w:t>(37</w:t>
            </w:r>
          </w:p>
        </w:tc>
        <w:tc>
          <w:tcPr>
            <w:tcW w:w="135" w:type="dxa"/>
            <w:tcBorders/>
            <w:vAlign w:val="center"/>
          </w:tcPr>
          <w:p>
            <w:pPr>
              <w:pStyle w:val="TableContents"/>
              <w:bidi w:val="0"/>
              <w:spacing w:before="0" w:after="283"/>
              <w:ind w:left="0" w:right="0" w:hanging="180"/>
              <w:jc w:val="left"/>
              <w:rPr>
                <w:sz w:val="20"/>
              </w:rPr>
            </w:pPr>
            <w:r>
              <w:rPr>
                <w:sz w:val="20"/>
              </w:rPr>
              <w:t>)</w:t>
            </w:r>
          </w:p>
        </w:tc>
      </w:tr>
      <w:tr>
        <w:trPr/>
        <w:tc>
          <w:tcPr>
            <w:tcW w:w="2165" w:type="dxa"/>
            <w:tcBorders/>
            <w:shd w:fill="CCEEFF" w:val="clear"/>
            <w:vAlign w:val="center"/>
          </w:tcPr>
          <w:p>
            <w:pPr>
              <w:pStyle w:val="TableContents"/>
              <w:bidi w:val="0"/>
              <w:spacing w:before="0" w:after="283"/>
              <w:jc w:val="left"/>
              <w:rPr>
                <w:sz w:val="20"/>
              </w:rPr>
            </w:pPr>
            <w:r>
              <w:rPr>
                <w:sz w:val="20"/>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(8,402</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(8,402</w:t>
            </w:r>
          </w:p>
        </w:tc>
        <w:tc>
          <w:tcPr>
            <w:tcW w:w="135"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2165" w:type="dxa"/>
            <w:tcBorders/>
            <w:vAlign w:val="center"/>
          </w:tcPr>
          <w:p>
            <w:pPr>
              <w:pStyle w:val="TableContents"/>
              <w:bidi w:val="0"/>
              <w:spacing w:before="0" w:after="283"/>
              <w:jc w:val="left"/>
              <w:rPr>
                <w:b/>
                <w:sz w:val="20"/>
              </w:rPr>
            </w:pPr>
            <w:r>
              <w:rPr>
                <w:b/>
                <w:sz w:val="20"/>
              </w:rPr>
              <w:t>Balance at December 31, 2025</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b/>
                <w:sz w:val="20"/>
              </w:rPr>
            </w:pPr>
            <w:r>
              <w:rPr>
                <w:b/>
                <w:sz w:val="20"/>
              </w:rPr>
              <w:t>39,934,846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 w:type="dxa"/>
            <w:tcBorders>
              <w:bottom w:val="single" w:sz="12" w:space="0" w:color="000000"/>
            </w:tcBorders>
            <w:tcMar>
              <w:bottom w:w="28" w:type="dxa"/>
            </w:tcMar>
            <w:vAlign w:val="center"/>
          </w:tcPr>
          <w:p>
            <w:pPr>
              <w:pStyle w:val="TableContents"/>
              <w:bidi w:val="0"/>
              <w:spacing w:before="0" w:after="283"/>
              <w:jc w:val="left"/>
              <w:rPr/>
            </w:pPr>
            <w:r>
              <w:rPr/>
              <w:t> </w:t>
            </w:r>
          </w:p>
        </w:tc>
        <w:tc>
          <w:tcPr>
            <w:tcW w:w="606" w:type="dxa"/>
            <w:tcBorders>
              <w:bottom w:val="single" w:sz="12" w:space="0" w:color="000000"/>
            </w:tcBorders>
            <w:tcMar>
              <w:bottom w:w="28" w:type="dxa"/>
            </w:tcMar>
            <w:vAlign w:val="center"/>
          </w:tcPr>
          <w:p>
            <w:pPr>
              <w:pStyle w:val="TableContents"/>
              <w:bidi w:val="0"/>
              <w:spacing w:before="0" w:after="283"/>
              <w:jc w:val="right"/>
              <w:rPr>
                <w:b/>
                <w:sz w:val="20"/>
              </w:rPr>
            </w:pPr>
            <w:r>
              <w:rPr>
                <w:b/>
                <w:sz w:val="20"/>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b/>
                <w:sz w:val="20"/>
              </w:rPr>
            </w:pPr>
            <w:r>
              <w:rPr>
                <w:b/>
                <w:sz w:val="20"/>
              </w:rPr>
              <w:t>174,299,223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539" w:type="dxa"/>
            <w:tcBorders>
              <w:bottom w:val="single" w:sz="12" w:space="0" w:color="000000"/>
            </w:tcBorders>
            <w:tcMar>
              <w:bottom w:w="28" w:type="dxa"/>
            </w:tcMar>
            <w:vAlign w:val="center"/>
          </w:tcPr>
          <w:p>
            <w:pPr>
              <w:pStyle w:val="TableContents"/>
              <w:bidi w:val="0"/>
              <w:spacing w:before="0" w:after="283"/>
              <w:jc w:val="right"/>
              <w:rPr>
                <w:b/>
                <w:sz w:val="20"/>
              </w:rPr>
            </w:pPr>
            <w:r>
              <w:rPr>
                <w:b/>
                <w:sz w:val="20"/>
              </w:rPr>
              <w:t>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bottom w:val="single" w:sz="12" w:space="0" w:color="000000"/>
            </w:tcBorders>
            <w:tcMar>
              <w:bottom w:w="28" w:type="dxa"/>
            </w:tcMar>
            <w:vAlign w:val="center"/>
          </w:tcPr>
          <w:p>
            <w:pPr>
              <w:pStyle w:val="TableContents"/>
              <w:bidi w:val="0"/>
              <w:spacing w:before="0" w:after="283"/>
              <w:jc w:val="left"/>
              <w:rPr/>
            </w:pPr>
            <w:r>
              <w:rPr/>
              <w:t> </w:t>
            </w:r>
          </w:p>
        </w:tc>
        <w:tc>
          <w:tcPr>
            <w:tcW w:w="846" w:type="dxa"/>
            <w:tcBorders>
              <w:bottom w:val="single" w:sz="12" w:space="0" w:color="000000"/>
            </w:tcBorders>
            <w:tcMar>
              <w:bottom w:w="28" w:type="dxa"/>
            </w:tcMar>
            <w:vAlign w:val="center"/>
          </w:tcPr>
          <w:p>
            <w:pPr>
              <w:pStyle w:val="TableContents"/>
              <w:bidi w:val="0"/>
              <w:spacing w:before="0" w:after="283"/>
              <w:jc w:val="right"/>
              <w:rPr>
                <w:b/>
                <w:sz w:val="20"/>
              </w:rPr>
            </w:pPr>
            <w:r>
              <w:rPr>
                <w:b/>
                <w:sz w:val="20"/>
              </w:rPr>
              <w:t>371,403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b/>
                <w:sz w:val="20"/>
              </w:rPr>
            </w:pPr>
            <w:r>
              <w:rPr>
                <w:b/>
                <w:sz w:val="20"/>
              </w:rPr>
              <w:t>356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79" w:type="dxa"/>
            <w:tcBorders>
              <w:bottom w:val="single" w:sz="12" w:space="0" w:color="000000"/>
            </w:tcBorders>
            <w:tcMar>
              <w:bottom w:w="28" w:type="dxa"/>
            </w:tcMar>
            <w:vAlign w:val="center"/>
          </w:tcPr>
          <w:p>
            <w:pPr>
              <w:pStyle w:val="TableContents"/>
              <w:bidi w:val="0"/>
              <w:spacing w:before="0" w:after="283"/>
              <w:jc w:val="right"/>
              <w:rPr>
                <w:b/>
                <w:sz w:val="20"/>
              </w:rPr>
            </w:pPr>
            <w:r>
              <w:rPr>
                <w:b/>
                <w:sz w:val="20"/>
              </w:rPr>
              <w:t>(32,095</w:t>
            </w:r>
          </w:p>
        </w:tc>
        <w:tc>
          <w:tcPr>
            <w:tcW w:w="110" w:type="dxa"/>
            <w:tcBorders/>
            <w:vAlign w:val="center"/>
          </w:tcPr>
          <w:p>
            <w:pPr>
              <w:pStyle w:val="TableContents"/>
              <w:bidi w:val="0"/>
              <w:spacing w:before="0" w:after="283"/>
              <w:jc w:val="left"/>
              <w:rPr>
                <w:b/>
                <w:sz w:val="20"/>
              </w:rPr>
            </w:pPr>
            <w:r>
              <w:rPr>
                <w:b/>
                <w:sz w:val="20"/>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right"/>
              <w:rPr>
                <w:b/>
                <w:sz w:val="20"/>
              </w:rPr>
            </w:pPr>
            <w:r>
              <w:rPr>
                <w:b/>
                <w:sz w:val="20"/>
              </w:rPr>
              <w:t>(47</w:t>
            </w:r>
          </w:p>
        </w:tc>
        <w:tc>
          <w:tcPr>
            <w:tcW w:w="110" w:type="dxa"/>
            <w:tcBorders/>
            <w:vAlign w:val="center"/>
          </w:tcPr>
          <w:p>
            <w:pPr>
              <w:pStyle w:val="TableContents"/>
              <w:bidi w:val="0"/>
              <w:spacing w:before="0" w:after="283"/>
              <w:jc w:val="left"/>
              <w:rPr>
                <w:b/>
                <w:sz w:val="20"/>
              </w:rPr>
            </w:pPr>
            <w:r>
              <w:rPr>
                <w:b/>
                <w:sz w:val="20"/>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12" w:space="0" w:color="000000"/>
            </w:tcBorders>
            <w:tcMar>
              <w:bottom w:w="28" w:type="dxa"/>
            </w:tcMar>
            <w:vAlign w:val="center"/>
          </w:tcPr>
          <w:p>
            <w:pPr>
              <w:pStyle w:val="TableContents"/>
              <w:bidi w:val="0"/>
              <w:spacing w:before="0" w:after="283"/>
              <w:jc w:val="right"/>
              <w:rPr>
                <w:b/>
                <w:sz w:val="20"/>
              </w:rPr>
            </w:pPr>
            <w:r>
              <w:rPr>
                <w:b/>
                <w:sz w:val="20"/>
              </w:rPr>
              <w:t>339,639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1430" w:type="dxa"/>
        <w:jc w:val="left"/>
        <w:tblInd w:w="0" w:type="dxa"/>
        <w:tblLayout w:type="fixed"/>
        <w:tblCellMar>
          <w:top w:w="0" w:type="dxa"/>
          <w:left w:w="0" w:type="dxa"/>
          <w:bottom w:w="0" w:type="dxa"/>
          <w:right w:w="0" w:type="dxa"/>
        </w:tblCellMar>
      </w:tblPr>
      <w:tblGrid>
        <w:gridCol w:w="2675"/>
        <w:gridCol w:w="90"/>
        <w:gridCol w:w="90"/>
        <w:gridCol w:w="980"/>
        <w:gridCol w:w="90"/>
        <w:gridCol w:w="90"/>
        <w:gridCol w:w="155"/>
        <w:gridCol w:w="695"/>
        <w:gridCol w:w="90"/>
        <w:gridCol w:w="90"/>
        <w:gridCol w:w="90"/>
        <w:gridCol w:w="980"/>
        <w:gridCol w:w="90"/>
        <w:gridCol w:w="90"/>
        <w:gridCol w:w="155"/>
        <w:gridCol w:w="695"/>
        <w:gridCol w:w="90"/>
        <w:gridCol w:w="90"/>
        <w:gridCol w:w="190"/>
        <w:gridCol w:w="760"/>
        <w:gridCol w:w="90"/>
        <w:gridCol w:w="90"/>
        <w:gridCol w:w="226"/>
        <w:gridCol w:w="994"/>
        <w:gridCol w:w="155"/>
        <w:gridCol w:w="90"/>
        <w:gridCol w:w="155"/>
        <w:gridCol w:w="1220"/>
        <w:gridCol w:w="135"/>
      </w:tblGrid>
      <w:tr>
        <w:trPr/>
        <w:tc>
          <w:tcPr>
            <w:tcW w:w="26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5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5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sz w:val="20"/>
              </w:rPr>
            </w:pPr>
            <w:r>
              <w:rPr>
                <w:b/>
                <w:sz w:val="20"/>
              </w:rPr>
              <w:t>Retained</w:t>
            </w:r>
          </w:p>
        </w:tc>
        <w:tc>
          <w:tcPr>
            <w:tcW w:w="1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26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380" w:type="dxa"/>
            <w:gridSpan w:val="14"/>
            <w:tcBorders>
              <w:bottom w:val="single" w:sz="12" w:space="0" w:color="000000"/>
            </w:tcBorders>
            <w:tcMar>
              <w:bottom w:w="28" w:type="dxa"/>
            </w:tcMar>
            <w:vAlign w:val="center"/>
          </w:tcPr>
          <w:p>
            <w:pPr>
              <w:pStyle w:val="TableContents"/>
              <w:bidi w:val="0"/>
              <w:spacing w:before="0" w:after="283"/>
              <w:jc w:val="center"/>
              <w:rPr>
                <w:b/>
                <w:sz w:val="20"/>
              </w:rPr>
            </w:pPr>
            <w:r>
              <w:rPr>
                <w:b/>
                <w:sz w:val="20"/>
              </w:rPr>
              <w:t>Common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b/>
                <w:sz w:val="20"/>
              </w:rPr>
            </w:pPr>
            <w:r>
              <w:rPr>
                <w:b/>
                <w:sz w:val="20"/>
              </w:rPr>
              <w:t>Additional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sz w:val="20"/>
              </w:rPr>
            </w:pPr>
            <w:r>
              <w:rPr>
                <w:b/>
                <w:sz w:val="20"/>
              </w:rPr>
              <w:t>earnings</w:t>
            </w:r>
          </w:p>
        </w:tc>
        <w:tc>
          <w:tcPr>
            <w:tcW w:w="1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5" w:type="dxa"/>
            <w:gridSpan w:val="2"/>
            <w:tcBorders/>
            <w:vAlign w:val="center"/>
          </w:tcPr>
          <w:p>
            <w:pPr>
              <w:pStyle w:val="TableContents"/>
              <w:bidi w:val="0"/>
              <w:spacing w:before="0" w:after="283"/>
              <w:jc w:val="center"/>
              <w:rPr>
                <w:b/>
                <w:sz w:val="20"/>
              </w:rPr>
            </w:pPr>
            <w:r>
              <w:rPr>
                <w:b/>
                <w:sz w:val="20"/>
              </w:rPr>
              <w:t>Total</w:t>
            </w:r>
          </w:p>
        </w:tc>
        <w:tc>
          <w:tcPr>
            <w:tcW w:w="135" w:type="dxa"/>
            <w:tcBorders/>
            <w:vAlign w:val="center"/>
          </w:tcPr>
          <w:p>
            <w:pPr>
              <w:pStyle w:val="TableContents"/>
              <w:bidi w:val="0"/>
              <w:spacing w:before="0" w:after="283"/>
              <w:jc w:val="center"/>
              <w:rPr/>
            </w:pPr>
            <w:r>
              <w:rPr/>
              <w:t> </w:t>
            </w:r>
          </w:p>
        </w:tc>
      </w:tr>
      <w:tr>
        <w:trPr/>
        <w:tc>
          <w:tcPr>
            <w:tcW w:w="26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00"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Class A</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00"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Class 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b/>
                <w:sz w:val="20"/>
              </w:rPr>
            </w:pPr>
            <w:r>
              <w:rPr>
                <w:b/>
                <w:sz w:val="20"/>
              </w:rPr>
              <w:t>Paid-in</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sz w:val="20"/>
              </w:rPr>
            </w:pPr>
            <w:r>
              <w:rPr>
                <w:b/>
                <w:sz w:val="20"/>
              </w:rPr>
              <w:t>(Accumulated</w:t>
            </w:r>
          </w:p>
        </w:tc>
        <w:tc>
          <w:tcPr>
            <w:tcW w:w="1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5" w:type="dxa"/>
            <w:gridSpan w:val="2"/>
            <w:tcBorders/>
            <w:vAlign w:val="center"/>
          </w:tcPr>
          <w:p>
            <w:pPr>
              <w:pStyle w:val="TableContents"/>
              <w:bidi w:val="0"/>
              <w:spacing w:before="0" w:after="283"/>
              <w:jc w:val="center"/>
              <w:rPr>
                <w:b/>
                <w:sz w:val="20"/>
              </w:rPr>
            </w:pPr>
            <w:r>
              <w:rPr>
                <w:b/>
                <w:sz w:val="20"/>
              </w:rPr>
              <w:t>Shareholders’</w:t>
            </w:r>
          </w:p>
        </w:tc>
        <w:tc>
          <w:tcPr>
            <w:tcW w:w="135" w:type="dxa"/>
            <w:tcBorders/>
            <w:vAlign w:val="center"/>
          </w:tcPr>
          <w:p>
            <w:pPr>
              <w:pStyle w:val="TableContents"/>
              <w:bidi w:val="0"/>
              <w:spacing w:before="0" w:after="283"/>
              <w:jc w:val="center"/>
              <w:rPr/>
            </w:pPr>
            <w:r>
              <w:rPr/>
              <w:t> </w:t>
            </w:r>
          </w:p>
        </w:tc>
      </w:tr>
      <w:tr>
        <w:trPr/>
        <w:tc>
          <w:tcPr>
            <w:tcW w:w="26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5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5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Capital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deficit)</w:t>
            </w:r>
          </w:p>
        </w:tc>
        <w:tc>
          <w:tcPr>
            <w:tcW w:w="1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equity</w:t>
            </w:r>
          </w:p>
        </w:tc>
        <w:tc>
          <w:tcPr>
            <w:tcW w:w="135" w:type="dxa"/>
            <w:tcBorders/>
            <w:vAlign w:val="center"/>
          </w:tcPr>
          <w:p>
            <w:pPr>
              <w:pStyle w:val="TableContents"/>
              <w:bidi w:val="0"/>
              <w:spacing w:before="0" w:after="283"/>
              <w:ind w:left="0" w:right="0" w:hanging="180"/>
              <w:jc w:val="center"/>
              <w:rPr/>
            </w:pPr>
            <w:r>
              <w:rPr/>
              <w:t> </w:t>
            </w:r>
          </w:p>
        </w:tc>
      </w:tr>
      <w:tr>
        <w:trPr/>
        <w:tc>
          <w:tcPr>
            <w:tcW w:w="2675" w:type="dxa"/>
            <w:tcBorders/>
            <w:shd w:fill="CCEEFF" w:val="clear"/>
            <w:vAlign w:val="center"/>
          </w:tcPr>
          <w:p>
            <w:pPr>
              <w:pStyle w:val="TableContents"/>
              <w:bidi w:val="0"/>
              <w:spacing w:before="0" w:after="283"/>
              <w:jc w:val="left"/>
              <w:rPr>
                <w:b/>
                <w:sz w:val="20"/>
              </w:rPr>
            </w:pPr>
            <w:r>
              <w:rPr>
                <w:b/>
                <w:sz w:val="20"/>
              </w:rPr>
              <w:t>Balance at September 30,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39,934,846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pPr>
            <w:r>
              <w:rPr/>
              <w:t>         </w:t>
            </w:r>
            <w:r>
              <w:rPr>
                <w:sz w:val="20"/>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53,795,254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pPr>
            <w:r>
              <w:rPr/>
              <w:t>         </w:t>
            </w:r>
            <w:r>
              <w:rPr>
                <w:sz w:val="20"/>
              </w:rPr>
              <w:t>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20"/>
              </w:rPr>
            </w:pPr>
            <w:r>
              <w:rPr>
                <w:sz w:val="20"/>
              </w:rPr>
              <w:t>$</w:t>
            </w:r>
          </w:p>
        </w:tc>
        <w:tc>
          <w:tcPr>
            <w:tcW w:w="760" w:type="dxa"/>
            <w:tcBorders/>
            <w:shd w:fill="CCEEFF" w:val="clear"/>
            <w:vAlign w:val="center"/>
          </w:tcPr>
          <w:p>
            <w:pPr>
              <w:pStyle w:val="TableContents"/>
              <w:bidi w:val="0"/>
              <w:spacing w:before="0" w:after="283"/>
              <w:jc w:val="right"/>
              <w:rPr>
                <w:sz w:val="20"/>
              </w:rPr>
            </w:pPr>
            <w:r>
              <w:rPr>
                <w:sz w:val="20"/>
              </w:rPr>
              <w:t>49,667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20"/>
              </w:rPr>
            </w:pPr>
            <w:r>
              <w:rPr>
                <w:sz w:val="20"/>
              </w:rPr>
              <w:t>$</w:t>
            </w:r>
          </w:p>
        </w:tc>
        <w:tc>
          <w:tcPr>
            <w:tcW w:w="994" w:type="dxa"/>
            <w:tcBorders/>
            <w:shd w:fill="CCEEFF" w:val="clear"/>
            <w:vAlign w:val="center"/>
          </w:tcPr>
          <w:p>
            <w:pPr>
              <w:pStyle w:val="TableContents"/>
              <w:bidi w:val="0"/>
              <w:spacing w:before="0" w:after="283"/>
              <w:jc w:val="right"/>
              <w:rPr>
                <w:sz w:val="20"/>
              </w:rPr>
            </w:pPr>
            <w:r>
              <w:rPr>
                <w:sz w:val="20"/>
              </w:rPr>
              <w:t>(7,939</w:t>
            </w:r>
          </w:p>
        </w:tc>
        <w:tc>
          <w:tcPr>
            <w:tcW w:w="155"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1220" w:type="dxa"/>
            <w:tcBorders/>
            <w:shd w:fill="CCEEFF" w:val="clear"/>
            <w:vAlign w:val="center"/>
          </w:tcPr>
          <w:p>
            <w:pPr>
              <w:pStyle w:val="TableContents"/>
              <w:bidi w:val="0"/>
              <w:spacing w:before="0" w:after="283"/>
              <w:jc w:val="right"/>
              <w:rPr/>
            </w:pPr>
            <w:r>
              <w:rPr/>
              <w:t>          </w:t>
            </w:r>
            <w:r>
              <w:rPr>
                <w:sz w:val="20"/>
              </w:rPr>
              <w:t>41,738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675" w:type="dxa"/>
            <w:tcBorders/>
            <w:vAlign w:val="center"/>
          </w:tcPr>
          <w:p>
            <w:pPr>
              <w:pStyle w:val="TableContents"/>
              <w:bidi w:val="0"/>
              <w:spacing w:before="0" w:after="283"/>
              <w:jc w:val="left"/>
              <w:rPr>
                <w:sz w:val="20"/>
              </w:rPr>
            </w:pPr>
            <w:r>
              <w:rPr>
                <w:sz w:val="20"/>
              </w:rPr>
              <w:t>Issuance of shares of common stock for Intangible asset acquisition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4,088,000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sz w:val="20"/>
              </w:rPr>
            </w:pPr>
            <w:r>
              <w:rPr>
                <w:sz w:val="20"/>
              </w:rPr>
              <w:t>2,454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sz w:val="20"/>
              </w:rPr>
            </w:pPr>
            <w:r>
              <w:rPr>
                <w:sz w:val="20"/>
              </w:rPr>
              <w:t>2,454</w:t>
            </w:r>
          </w:p>
        </w:tc>
        <w:tc>
          <w:tcPr>
            <w:tcW w:w="135" w:type="dxa"/>
            <w:tcBorders/>
            <w:vAlign w:val="center"/>
          </w:tcPr>
          <w:p>
            <w:pPr>
              <w:pStyle w:val="TableContents"/>
              <w:bidi w:val="0"/>
              <w:spacing w:before="0" w:after="283"/>
              <w:ind w:left="0" w:right="0" w:hanging="180"/>
              <w:jc w:val="left"/>
              <w:rPr/>
            </w:pPr>
            <w:r>
              <w:rPr/>
              <w:t> </w:t>
            </w:r>
          </w:p>
        </w:tc>
      </w:tr>
      <w:tr>
        <w:trPr/>
        <w:tc>
          <w:tcPr>
            <w:tcW w:w="2675" w:type="dxa"/>
            <w:tcBorders/>
            <w:shd w:fill="CCEEFF" w:val="clear"/>
            <w:vAlign w:val="center"/>
          </w:tcPr>
          <w:p>
            <w:pPr>
              <w:pStyle w:val="TableContents"/>
              <w:bidi w:val="0"/>
              <w:spacing w:before="0" w:after="283"/>
              <w:jc w:val="left"/>
              <w:rPr>
                <w:sz w:val="20"/>
              </w:rPr>
            </w:pPr>
            <w:r>
              <w:rPr>
                <w:sz w:val="20"/>
              </w:rPr>
              <w:t>Issuance of shares upon exercise of warrants for cash</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5,973,667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sz w:val="20"/>
              </w:rPr>
            </w:pPr>
            <w:r>
              <w:rPr>
                <w:sz w:val="20"/>
              </w:rPr>
              <w:t>8,064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sz w:val="20"/>
              </w:rPr>
            </w:pPr>
            <w:r>
              <w:rPr>
                <w:sz w:val="20"/>
              </w:rPr>
              <w:t>8,065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675" w:type="dxa"/>
            <w:tcBorders/>
            <w:vAlign w:val="center"/>
          </w:tcPr>
          <w:p>
            <w:pPr>
              <w:pStyle w:val="TableContents"/>
              <w:bidi w:val="0"/>
              <w:spacing w:before="0" w:after="283"/>
              <w:jc w:val="left"/>
              <w:rPr>
                <w:sz w:val="20"/>
              </w:rPr>
            </w:pPr>
            <w:r>
              <w:rPr>
                <w:sz w:val="20"/>
              </w:rPr>
              <w:t>Shares issued to employees and directors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3,395,153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sz w:val="20"/>
              </w:rPr>
            </w:pPr>
            <w:r>
              <w:rPr>
                <w:sz w:val="20"/>
              </w:rPr>
              <w:t>867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sz w:val="20"/>
              </w:rPr>
            </w:pPr>
            <w:r>
              <w:rPr>
                <w:sz w:val="20"/>
              </w:rPr>
              <w:t>867</w:t>
            </w:r>
          </w:p>
        </w:tc>
        <w:tc>
          <w:tcPr>
            <w:tcW w:w="135" w:type="dxa"/>
            <w:tcBorders/>
            <w:vAlign w:val="center"/>
          </w:tcPr>
          <w:p>
            <w:pPr>
              <w:pStyle w:val="TableContents"/>
              <w:bidi w:val="0"/>
              <w:spacing w:before="0" w:after="283"/>
              <w:ind w:left="0" w:right="0" w:hanging="180"/>
              <w:jc w:val="left"/>
              <w:rPr/>
            </w:pPr>
            <w:r>
              <w:rPr/>
              <w:t> </w:t>
            </w:r>
          </w:p>
        </w:tc>
      </w:tr>
      <w:tr>
        <w:trPr/>
        <w:tc>
          <w:tcPr>
            <w:tcW w:w="2675" w:type="dxa"/>
            <w:tcBorders/>
            <w:shd w:fill="CCEEFF" w:val="clear"/>
            <w:vAlign w:val="center"/>
          </w:tcPr>
          <w:p>
            <w:pPr>
              <w:pStyle w:val="TableContents"/>
              <w:bidi w:val="0"/>
              <w:spacing w:before="0" w:after="283"/>
              <w:jc w:val="left"/>
              <w:rPr>
                <w:sz w:val="20"/>
              </w:rPr>
            </w:pPr>
            <w:r>
              <w:rPr>
                <w:sz w:val="20"/>
              </w:rPr>
              <w:t>Shares issued for services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371,631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sz w:val="20"/>
              </w:rPr>
            </w:pPr>
            <w:r>
              <w:rPr>
                <w:sz w:val="20"/>
              </w:rPr>
              <w:t>314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sz w:val="20"/>
              </w:rPr>
            </w:pPr>
            <w:r>
              <w:rPr>
                <w:sz w:val="20"/>
              </w:rPr>
              <w:t>314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675" w:type="dxa"/>
            <w:tcBorders/>
            <w:vAlign w:val="center"/>
          </w:tcPr>
          <w:p>
            <w:pPr>
              <w:pStyle w:val="TableContents"/>
              <w:bidi w:val="0"/>
              <w:spacing w:before="0" w:after="283"/>
              <w:jc w:val="left"/>
              <w:rPr>
                <w:sz w:val="20"/>
              </w:rPr>
            </w:pPr>
            <w:r>
              <w:rPr>
                <w:sz w:val="20"/>
              </w:rPr>
              <w:t>Non-controlling interests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sz w:val="20"/>
              </w:rPr>
            </w:pPr>
            <w:r>
              <w:rPr>
                <w:sz w:val="20"/>
              </w:rPr>
              <w:t>(21</w:t>
            </w:r>
          </w:p>
        </w:tc>
        <w:tc>
          <w:tcPr>
            <w:tcW w:w="155"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sz w:val="20"/>
              </w:rPr>
            </w:pPr>
            <w:r>
              <w:rPr>
                <w:sz w:val="20"/>
              </w:rPr>
              <w:t>(21</w:t>
            </w:r>
          </w:p>
        </w:tc>
        <w:tc>
          <w:tcPr>
            <w:tcW w:w="135" w:type="dxa"/>
            <w:tcBorders/>
            <w:vAlign w:val="center"/>
          </w:tcPr>
          <w:p>
            <w:pPr>
              <w:pStyle w:val="TableContents"/>
              <w:bidi w:val="0"/>
              <w:spacing w:before="0" w:after="283"/>
              <w:ind w:left="0" w:right="0" w:hanging="180"/>
              <w:jc w:val="left"/>
              <w:rPr>
                <w:sz w:val="20"/>
              </w:rPr>
            </w:pPr>
            <w:r>
              <w:rPr>
                <w:sz w:val="20"/>
              </w:rPr>
              <w:t>)</w:t>
            </w:r>
          </w:p>
        </w:tc>
      </w:tr>
      <w:tr>
        <w:trPr/>
        <w:tc>
          <w:tcPr>
            <w:tcW w:w="2675" w:type="dxa"/>
            <w:tcBorders/>
            <w:shd w:fill="CCEEFF" w:val="clear"/>
            <w:vAlign w:val="center"/>
          </w:tcPr>
          <w:p>
            <w:pPr>
              <w:pStyle w:val="TableContents"/>
              <w:bidi w:val="0"/>
              <w:spacing w:before="0" w:after="283"/>
              <w:jc w:val="left"/>
              <w:rPr>
                <w:sz w:val="20"/>
              </w:rPr>
            </w:pPr>
            <w:r>
              <w:rPr>
                <w:sz w:val="20"/>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(3,548</w:t>
            </w:r>
          </w:p>
        </w:tc>
        <w:tc>
          <w:tcPr>
            <w:tcW w:w="155"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(3,548</w:t>
            </w:r>
          </w:p>
        </w:tc>
        <w:tc>
          <w:tcPr>
            <w:tcW w:w="135"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26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2675" w:type="dxa"/>
            <w:tcBorders/>
            <w:shd w:fill="CCEEFF" w:val="clear"/>
            <w:vAlign w:val="center"/>
          </w:tcPr>
          <w:p>
            <w:pPr>
              <w:pStyle w:val="TableContents"/>
              <w:bidi w:val="0"/>
              <w:spacing w:before="0" w:after="283"/>
              <w:jc w:val="left"/>
              <w:rPr>
                <w:b/>
                <w:sz w:val="20"/>
              </w:rPr>
            </w:pPr>
            <w:r>
              <w:rPr>
                <w:b/>
                <w:sz w:val="20"/>
              </w:rPr>
              <w:t>Balance at December 31, 2024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39,934,846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67,623,705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61,366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(11,508</w:t>
            </w:r>
          </w:p>
        </w:tc>
        <w:tc>
          <w:tcPr>
            <w:tcW w:w="155" w:type="dxa"/>
            <w:tcBorders/>
            <w:shd w:fill="CCEEFF" w:val="clear"/>
            <w:vAlign w:val="center"/>
          </w:tcPr>
          <w:p>
            <w:pPr>
              <w:pStyle w:val="TableContents"/>
              <w:bidi w:val="0"/>
              <w:spacing w:before="0" w:after="283"/>
              <w:jc w:val="left"/>
              <w:rPr>
                <w:sz w:val="20"/>
              </w:rPr>
            </w:pPr>
            <w:r>
              <w:rPr>
                <w:sz w:val="20"/>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49,869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k_007"/>
      <w:bookmarkEnd w:id="8"/>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9680" w:type="dxa"/>
        <w:jc w:val="left"/>
        <w:tblInd w:w="0" w:type="dxa"/>
        <w:tblLayout w:type="fixed"/>
        <w:tblCellMar>
          <w:top w:w="0" w:type="dxa"/>
          <w:left w:w="0" w:type="dxa"/>
          <w:bottom w:w="0" w:type="dxa"/>
          <w:right w:w="0" w:type="dxa"/>
        </w:tblCellMar>
      </w:tblPr>
      <w:tblGrid>
        <w:gridCol w:w="7325"/>
        <w:gridCol w:w="90"/>
        <w:gridCol w:w="170"/>
        <w:gridCol w:w="830"/>
        <w:gridCol w:w="125"/>
        <w:gridCol w:w="90"/>
        <w:gridCol w:w="170"/>
        <w:gridCol w:w="710"/>
        <w:gridCol w:w="170"/>
      </w:tblGrid>
      <w:tr>
        <w:trPr/>
        <w:tc>
          <w:tcPr>
            <w:tcW w:w="7325"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ind w:left="0" w:right="0" w:hanging="0"/>
              <w:jc w:val="left"/>
              <w:rPr/>
            </w:pPr>
            <w:r>
              <w:rPr/>
              <w:t> </w:t>
            </w:r>
          </w:p>
        </w:tc>
      </w:tr>
      <w:tr>
        <w:trPr/>
        <w:tc>
          <w:tcPr>
            <w:tcW w:w="7325"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0"/>
              <w:jc w:val="left"/>
              <w:rPr/>
            </w:pPr>
            <w:r>
              <w:rPr/>
              <w:t> </w:t>
            </w:r>
          </w:p>
        </w:tc>
      </w:tr>
      <w:tr>
        <w:trPr/>
        <w:tc>
          <w:tcPr>
            <w:tcW w:w="732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(8,402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(3,548</w:t>
            </w:r>
          </w:p>
        </w:tc>
        <w:tc>
          <w:tcPr>
            <w:tcW w:w="170" w:type="dxa"/>
            <w:tcBorders/>
            <w:shd w:fill="CCEEFF" w:val="clear"/>
            <w:vAlign w:val="center"/>
          </w:tcPr>
          <w:p>
            <w:pPr>
              <w:pStyle w:val="TableContents"/>
              <w:bidi w:val="0"/>
              <w:spacing w:before="0" w:after="283"/>
              <w:ind w:left="0" w:right="0" w:hanging="0"/>
              <w:jc w:val="left"/>
              <w:rPr/>
            </w:pPr>
            <w:r>
              <w:rPr/>
              <w:t>)</w:t>
            </w:r>
          </w:p>
        </w:tc>
      </w:tr>
      <w:tr>
        <w:trPr/>
        <w:tc>
          <w:tcPr>
            <w:tcW w:w="7325" w:type="dxa"/>
            <w:tcBorders/>
            <w:vAlign w:val="center"/>
          </w:tcPr>
          <w:p>
            <w:pPr>
              <w:pStyle w:val="TableContents"/>
              <w:bidi w:val="0"/>
              <w:spacing w:before="0" w:after="283"/>
              <w:jc w:val="left"/>
              <w:rPr/>
            </w:pPr>
            <w:r>
              <w:rPr/>
              <w:t>Adjustments to reconcile net loss to net cash provided by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0"/>
              <w:jc w:val="left"/>
              <w:rPr/>
            </w:pPr>
            <w:r>
              <w:rPr/>
              <w:t> </w:t>
            </w:r>
          </w:p>
        </w:tc>
      </w:tr>
      <w:tr>
        <w:trPr/>
        <w:tc>
          <w:tcPr>
            <w:tcW w:w="7325"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(755</w:t>
            </w:r>
          </w:p>
        </w:tc>
        <w:tc>
          <w:tcPr>
            <w:tcW w:w="170" w:type="dxa"/>
            <w:tcBorders/>
            <w:shd w:fill="CCEEFF" w:val="clear"/>
            <w:vAlign w:val="center"/>
          </w:tcPr>
          <w:p>
            <w:pPr>
              <w:pStyle w:val="TableContents"/>
              <w:bidi w:val="0"/>
              <w:spacing w:before="0" w:after="283"/>
              <w:ind w:left="0" w:right="0" w:hanging="0"/>
              <w:jc w:val="left"/>
              <w:rPr/>
            </w:pPr>
            <w:r>
              <w:rPr/>
              <w:t>)</w:t>
            </w:r>
          </w:p>
        </w:tc>
      </w:tr>
      <w:tr>
        <w:trPr/>
        <w:tc>
          <w:tcPr>
            <w:tcW w:w="7325" w:type="dxa"/>
            <w:tcBorders/>
            <w:vAlign w:val="center"/>
          </w:tcPr>
          <w:p>
            <w:pPr>
              <w:pStyle w:val="TableContents"/>
              <w:bidi w:val="0"/>
              <w:spacing w:before="0" w:after="283"/>
              <w:jc w:val="left"/>
              <w:rPr/>
            </w:pPr>
            <w:r>
              <w:rPr/>
              <w:t>Inventory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(498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(248</w:t>
            </w:r>
          </w:p>
        </w:tc>
        <w:tc>
          <w:tcPr>
            <w:tcW w:w="170" w:type="dxa"/>
            <w:tcBorders/>
            <w:vAlign w:val="center"/>
          </w:tcPr>
          <w:p>
            <w:pPr>
              <w:pStyle w:val="TableContents"/>
              <w:bidi w:val="0"/>
              <w:spacing w:before="0" w:after="283"/>
              <w:ind w:left="0" w:right="0" w:hanging="0"/>
              <w:jc w:val="left"/>
              <w:rPr/>
            </w:pPr>
            <w:r>
              <w:rPr/>
              <w:t>)</w:t>
            </w:r>
          </w:p>
        </w:tc>
      </w:tr>
      <w:tr>
        <w:trPr/>
        <w:tc>
          <w:tcPr>
            <w:tcW w:w="7325"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(20</w:t>
            </w:r>
          </w:p>
        </w:tc>
        <w:tc>
          <w:tcPr>
            <w:tcW w:w="170" w:type="dxa"/>
            <w:tcBorders/>
            <w:shd w:fill="CCEEFF" w:val="clear"/>
            <w:vAlign w:val="center"/>
          </w:tcPr>
          <w:p>
            <w:pPr>
              <w:pStyle w:val="TableContents"/>
              <w:bidi w:val="0"/>
              <w:spacing w:before="0" w:after="283"/>
              <w:ind w:left="0" w:right="0" w:hanging="0"/>
              <w:jc w:val="left"/>
              <w:rPr/>
            </w:pPr>
            <w:r>
              <w:rPr/>
              <w:t>)</w:t>
            </w:r>
          </w:p>
        </w:tc>
      </w:tr>
      <w:tr>
        <w:trPr/>
        <w:tc>
          <w:tcPr>
            <w:tcW w:w="7325" w:type="dxa"/>
            <w:tcBorders/>
            <w:vAlign w:val="center"/>
          </w:tcPr>
          <w:p>
            <w:pPr>
              <w:pStyle w:val="TableContents"/>
              <w:bidi w:val="0"/>
              <w:spacing w:before="0" w:after="283"/>
              <w:jc w:val="left"/>
              <w:rPr/>
            </w:pPr>
            <w:r>
              <w:rPr/>
              <w:t>Right-of-use asset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(167</w:t>
            </w:r>
          </w:p>
        </w:tc>
        <w:tc>
          <w:tcPr>
            <w:tcW w:w="170" w:type="dxa"/>
            <w:tcBorders/>
            <w:vAlign w:val="center"/>
          </w:tcPr>
          <w:p>
            <w:pPr>
              <w:pStyle w:val="TableContents"/>
              <w:bidi w:val="0"/>
              <w:spacing w:before="0" w:after="283"/>
              <w:ind w:left="0" w:right="0" w:hanging="0"/>
              <w:jc w:val="left"/>
              <w:rPr/>
            </w:pPr>
            <w:r>
              <w:rPr/>
              <w:t>)</w:t>
            </w:r>
          </w:p>
        </w:tc>
      </w:tr>
      <w:tr>
        <w:trPr/>
        <w:tc>
          <w:tcPr>
            <w:tcW w:w="7325" w:type="dxa"/>
            <w:tcBorders/>
            <w:shd w:fill="CCEEFF" w:val="clear"/>
            <w:vAlign w:val="center"/>
          </w:tcPr>
          <w:p>
            <w:pPr>
              <w:pStyle w:val="TableContents"/>
              <w:bidi w:val="0"/>
              <w:spacing w:before="0" w:after="283"/>
              <w:jc w:val="left"/>
              <w:rPr/>
            </w:pPr>
            <w:r>
              <w:rPr/>
              <w:t>sAccounts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(265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380</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7325" w:type="dxa"/>
            <w:tcBorders/>
            <w:vAlign w:val="center"/>
          </w:tcPr>
          <w:p>
            <w:pPr>
              <w:pStyle w:val="TableContents"/>
              <w:bidi w:val="0"/>
              <w:spacing w:before="0" w:after="283"/>
              <w:jc w:val="left"/>
              <w:rPr/>
            </w:pPr>
            <w:r>
              <w:rPr/>
              <w:t>Deferred revenue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0"/>
              <w:jc w:val="left"/>
              <w:rPr/>
            </w:pPr>
            <w:r>
              <w:rPr/>
              <w:t> </w:t>
            </w:r>
          </w:p>
        </w:tc>
      </w:tr>
      <w:tr>
        <w:trPr/>
        <w:tc>
          <w:tcPr>
            <w:tcW w:w="7325" w:type="dxa"/>
            <w:tcBorders/>
            <w:shd w:fill="CCEEFF" w:val="clear"/>
            <w:vAlign w:val="center"/>
          </w:tcPr>
          <w:p>
            <w:pPr>
              <w:pStyle w:val="TableContents"/>
              <w:bidi w:val="0"/>
              <w:spacing w:before="0" w:after="283"/>
              <w:jc w:val="left"/>
              <w:rPr/>
            </w:pPr>
            <w:r>
              <w:rPr/>
              <w:t>Tax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26</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7325" w:type="dxa"/>
            <w:tcBorders/>
            <w:vAlign w:val="center"/>
          </w:tcPr>
          <w:p>
            <w:pPr>
              <w:pStyle w:val="TableContents"/>
              <w:bidi w:val="0"/>
              <w:spacing w:before="0" w:after="283"/>
              <w:jc w:val="left"/>
              <w:rPr/>
            </w:pPr>
            <w:r>
              <w:rPr/>
              <w:t>Accrued expenses and other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(1,222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73</w:t>
            </w:r>
          </w:p>
        </w:tc>
        <w:tc>
          <w:tcPr>
            <w:tcW w:w="170" w:type="dxa"/>
            <w:tcBorders/>
            <w:vAlign w:val="center"/>
          </w:tcPr>
          <w:p>
            <w:pPr>
              <w:pStyle w:val="TableContents"/>
              <w:bidi w:val="0"/>
              <w:spacing w:before="0" w:after="283"/>
              <w:ind w:left="0" w:right="0" w:hanging="0"/>
              <w:jc w:val="left"/>
              <w:rPr/>
            </w:pPr>
            <w:r>
              <w:rPr/>
              <w:t> </w:t>
            </w:r>
          </w:p>
        </w:tc>
      </w:tr>
      <w:tr>
        <w:trPr/>
        <w:tc>
          <w:tcPr>
            <w:tcW w:w="7325"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513</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7325" w:type="dxa"/>
            <w:tcBorders/>
            <w:vAlign w:val="center"/>
          </w:tcPr>
          <w:p>
            <w:pPr>
              <w:pStyle w:val="TableContents"/>
              <w:bidi w:val="0"/>
              <w:spacing w:before="0" w:after="283"/>
              <w:jc w:val="left"/>
              <w:rPr/>
            </w:pPr>
            <w:r>
              <w:rPr/>
              <w:t>Stock based compensation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8,284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 </w:t>
            </w:r>
          </w:p>
        </w:tc>
        <w:tc>
          <w:tcPr>
            <w:tcW w:w="170" w:type="dxa"/>
            <w:tcBorders/>
            <w:vAlign w:val="center"/>
          </w:tcPr>
          <w:p>
            <w:pPr>
              <w:pStyle w:val="TableContents"/>
              <w:bidi w:val="0"/>
              <w:spacing w:before="0" w:after="283"/>
              <w:ind w:left="0" w:right="0" w:hanging="0"/>
              <w:jc w:val="left"/>
              <w:rPr/>
            </w:pPr>
            <w:r>
              <w:rPr/>
              <w:t> </w:t>
            </w:r>
          </w:p>
        </w:tc>
      </w:tr>
      <w:tr>
        <w:trPr/>
        <w:tc>
          <w:tcPr>
            <w:tcW w:w="7325" w:type="dxa"/>
            <w:tcBorders/>
            <w:shd w:fill="CCEEFF" w:val="clear"/>
            <w:vAlign w:val="center"/>
          </w:tcPr>
          <w:p>
            <w:pPr>
              <w:pStyle w:val="TableContents"/>
              <w:bidi w:val="0"/>
              <w:spacing w:before="0" w:after="283"/>
              <w:jc w:val="left"/>
              <w:rPr/>
            </w:pPr>
            <w:r>
              <w:rPr/>
              <w:t>Operating lease liabilities, 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60</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7325" w:type="dxa"/>
            <w:tcBorders/>
            <w:vAlign w:val="center"/>
          </w:tcPr>
          <w:p>
            <w:pPr>
              <w:pStyle w:val="TableContents"/>
              <w:bidi w:val="0"/>
              <w:spacing w:before="0" w:after="283"/>
              <w:jc w:val="left"/>
              <w:rPr/>
            </w:pPr>
            <w:r>
              <w:rPr/>
              <w:t>Operating lease liabilities, non- current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108</w:t>
            </w:r>
          </w:p>
        </w:tc>
        <w:tc>
          <w:tcPr>
            <w:tcW w:w="170" w:type="dxa"/>
            <w:tcBorders/>
            <w:vAlign w:val="center"/>
          </w:tcPr>
          <w:p>
            <w:pPr>
              <w:pStyle w:val="TableContents"/>
              <w:bidi w:val="0"/>
              <w:spacing w:before="0" w:after="283"/>
              <w:ind w:left="0" w:right="0" w:hanging="0"/>
              <w:jc w:val="left"/>
              <w:rPr/>
            </w:pPr>
            <w:r>
              <w:rPr/>
              <w:t> </w:t>
            </w:r>
          </w:p>
        </w:tc>
      </w:tr>
      <w:tr>
        <w:trPr/>
        <w:tc>
          <w:tcPr>
            <w:tcW w:w="7325" w:type="dxa"/>
            <w:tcBorders/>
            <w:shd w:fill="CCEEFF" w:val="clear"/>
            <w:vAlign w:val="center"/>
          </w:tcPr>
          <w:p>
            <w:pPr>
              <w:pStyle w:val="TableContents"/>
              <w:bidi w:val="0"/>
              <w:spacing w:before="0" w:after="283"/>
              <w:jc w:val="left"/>
              <w:rPr/>
            </w:pPr>
            <w:r>
              <w:rPr/>
              <w:t>Net cash used by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(1,605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(3,599</w:t>
            </w:r>
          </w:p>
        </w:tc>
        <w:tc>
          <w:tcPr>
            <w:tcW w:w="170" w:type="dxa"/>
            <w:tcBorders/>
            <w:shd w:fill="CCEEFF" w:val="clear"/>
            <w:vAlign w:val="center"/>
          </w:tcPr>
          <w:p>
            <w:pPr>
              <w:pStyle w:val="TableContents"/>
              <w:bidi w:val="0"/>
              <w:spacing w:before="0" w:after="283"/>
              <w:ind w:left="0" w:right="0" w:hanging="0"/>
              <w:jc w:val="left"/>
              <w:rPr/>
            </w:pPr>
            <w:r>
              <w:rPr/>
              <w:t>)</w:t>
            </w:r>
          </w:p>
        </w:tc>
      </w:tr>
      <w:tr>
        <w:trPr/>
        <w:tc>
          <w:tcPr>
            <w:tcW w:w="7325" w:type="dxa"/>
            <w:tcBorders/>
            <w:vAlign w:val="center"/>
          </w:tcPr>
          <w:p>
            <w:pPr>
              <w:pStyle w:val="TableContents"/>
              <w:bidi w:val="0"/>
              <w:spacing w:before="0" w:after="283"/>
              <w:jc w:val="left"/>
              <w:rPr>
                <w:b/>
              </w:rPr>
            </w:pPr>
            <w:r>
              <w:rPr>
                <w:b/>
              </w:rPr>
              <w:t>Cash flows from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0"/>
              <w:jc w:val="left"/>
              <w:rPr/>
            </w:pPr>
            <w:r>
              <w:rPr/>
              <w:t> </w:t>
            </w:r>
          </w:p>
        </w:tc>
      </w:tr>
      <w:tr>
        <w:trPr/>
        <w:tc>
          <w:tcPr>
            <w:tcW w:w="7325" w:type="dxa"/>
            <w:tcBorders/>
            <w:shd w:fill="CCEEFF" w:val="clear"/>
            <w:vAlign w:val="center"/>
          </w:tcPr>
          <w:p>
            <w:pPr>
              <w:pStyle w:val="TableContents"/>
              <w:bidi w:val="0"/>
              <w:spacing w:before="0" w:after="283"/>
              <w:jc w:val="left"/>
              <w:rPr/>
            </w:pPr>
            <w:r>
              <w:rPr/>
              <w:t>Purchase of property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(78</w:t>
            </w:r>
          </w:p>
        </w:tc>
        <w:tc>
          <w:tcPr>
            <w:tcW w:w="170" w:type="dxa"/>
            <w:tcBorders/>
            <w:shd w:fill="CCEEFF" w:val="clear"/>
            <w:vAlign w:val="center"/>
          </w:tcPr>
          <w:p>
            <w:pPr>
              <w:pStyle w:val="TableContents"/>
              <w:bidi w:val="0"/>
              <w:spacing w:before="0" w:after="283"/>
              <w:ind w:left="0" w:right="0" w:hanging="0"/>
              <w:jc w:val="left"/>
              <w:rPr/>
            </w:pPr>
            <w:r>
              <w:rPr/>
              <w:t>)</w:t>
            </w:r>
          </w:p>
        </w:tc>
      </w:tr>
      <w:tr>
        <w:trPr/>
        <w:tc>
          <w:tcPr>
            <w:tcW w:w="7325" w:type="dxa"/>
            <w:tcBorders/>
            <w:vAlign w:val="center"/>
          </w:tcPr>
          <w:p>
            <w:pPr>
              <w:pStyle w:val="TableContents"/>
              <w:bidi w:val="0"/>
              <w:spacing w:before="0" w:after="283"/>
              <w:jc w:val="left"/>
              <w:rPr/>
            </w:pPr>
            <w:r>
              <w:rPr/>
              <w:t>Purchase of short-term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(454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(127</w:t>
            </w:r>
          </w:p>
        </w:tc>
        <w:tc>
          <w:tcPr>
            <w:tcW w:w="170" w:type="dxa"/>
            <w:tcBorders/>
            <w:vAlign w:val="center"/>
          </w:tcPr>
          <w:p>
            <w:pPr>
              <w:pStyle w:val="TableContents"/>
              <w:bidi w:val="0"/>
              <w:spacing w:before="0" w:after="283"/>
              <w:ind w:left="0" w:right="0" w:hanging="0"/>
              <w:jc w:val="left"/>
              <w:rPr/>
            </w:pPr>
            <w:r>
              <w:rPr/>
              <w:t>)</w:t>
            </w:r>
          </w:p>
        </w:tc>
      </w:tr>
      <w:tr>
        <w:trPr/>
        <w:tc>
          <w:tcPr>
            <w:tcW w:w="7325" w:type="dxa"/>
            <w:tcBorders/>
            <w:shd w:fill="CCEEFF" w:val="clear"/>
            <w:vAlign w:val="center"/>
          </w:tcPr>
          <w:p>
            <w:pPr>
              <w:pStyle w:val="TableContents"/>
              <w:bidi w:val="0"/>
              <w:spacing w:before="0" w:after="283"/>
              <w:jc w:val="left"/>
              <w:rPr/>
            </w:pPr>
            <w:r>
              <w:rPr/>
              <w:t>Purchase of long-term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(175</w:t>
            </w:r>
          </w:p>
        </w:tc>
        <w:tc>
          <w:tcPr>
            <w:tcW w:w="170" w:type="dxa"/>
            <w:tcBorders/>
            <w:shd w:fill="CCEEFF" w:val="clear"/>
            <w:vAlign w:val="center"/>
          </w:tcPr>
          <w:p>
            <w:pPr>
              <w:pStyle w:val="TableContents"/>
              <w:bidi w:val="0"/>
              <w:spacing w:before="0" w:after="283"/>
              <w:ind w:left="0" w:right="0" w:hanging="0"/>
              <w:jc w:val="left"/>
              <w:rPr/>
            </w:pPr>
            <w:r>
              <w:rPr/>
              <w:t>)</w:t>
            </w:r>
          </w:p>
        </w:tc>
      </w:tr>
      <w:tr>
        <w:trPr/>
        <w:tc>
          <w:tcPr>
            <w:tcW w:w="7325" w:type="dxa"/>
            <w:tcBorders/>
            <w:vAlign w:val="center"/>
          </w:tcPr>
          <w:p>
            <w:pPr>
              <w:pStyle w:val="TableContents"/>
              <w:bidi w:val="0"/>
              <w:spacing w:before="0" w:after="283"/>
              <w:jc w:val="left"/>
              <w:rPr/>
            </w:pPr>
            <w:r>
              <w:rPr/>
              <w:t>Proceeds from maturities and sales of short-term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2,079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0"/>
              <w:jc w:val="left"/>
              <w:rPr/>
            </w:pPr>
            <w:r>
              <w:rPr/>
              <w:t> </w:t>
            </w:r>
          </w:p>
        </w:tc>
      </w:tr>
      <w:tr>
        <w:trPr/>
        <w:tc>
          <w:tcPr>
            <w:tcW w:w="7325" w:type="dxa"/>
            <w:tcBorders/>
            <w:shd w:fill="CCEEFF" w:val="clear"/>
            <w:vAlign w:val="center"/>
          </w:tcPr>
          <w:p>
            <w:pPr>
              <w:pStyle w:val="TableContents"/>
              <w:bidi w:val="0"/>
              <w:spacing w:before="0" w:after="283"/>
              <w:jc w:val="left"/>
              <w:rPr/>
            </w:pPr>
            <w:r>
              <w:rPr/>
              <w:t>Notes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7325" w:type="dxa"/>
            <w:tcBorders/>
            <w:vAlign w:val="center"/>
          </w:tcPr>
          <w:p>
            <w:pPr>
              <w:pStyle w:val="TableContents"/>
              <w:bidi w:val="0"/>
              <w:spacing w:before="0" w:after="283"/>
              <w:jc w:val="left"/>
              <w:rPr/>
            </w:pPr>
            <w:r>
              <w:rPr/>
              <w:t>Net cash provided by investing activities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1,540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(380</w:t>
            </w:r>
          </w:p>
        </w:tc>
        <w:tc>
          <w:tcPr>
            <w:tcW w:w="170" w:type="dxa"/>
            <w:tcBorders/>
            <w:vAlign w:val="center"/>
          </w:tcPr>
          <w:p>
            <w:pPr>
              <w:pStyle w:val="TableContents"/>
              <w:bidi w:val="0"/>
              <w:spacing w:before="0" w:after="283"/>
              <w:ind w:left="0" w:right="0" w:hanging="0"/>
              <w:jc w:val="left"/>
              <w:rPr/>
            </w:pPr>
            <w:r>
              <w:rPr/>
              <w:t>)</w:t>
            </w:r>
          </w:p>
        </w:tc>
      </w:tr>
      <w:tr>
        <w:trPr/>
        <w:tc>
          <w:tcPr>
            <w:tcW w:w="7325" w:type="dxa"/>
            <w:tcBorders/>
            <w:shd w:fill="CCEEFF" w:val="clear"/>
            <w:vAlign w:val="center"/>
          </w:tcPr>
          <w:p>
            <w:pPr>
              <w:pStyle w:val="TableContents"/>
              <w:bidi w:val="0"/>
              <w:spacing w:before="0" w:after="283"/>
              <w:jc w:val="left"/>
              <w:rPr>
                <w:b/>
              </w:rPr>
            </w:pPr>
            <w:r>
              <w:rPr>
                <w:b/>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7325" w:type="dxa"/>
            <w:tcBorders/>
            <w:vAlign w:val="center"/>
          </w:tcPr>
          <w:p>
            <w:pPr>
              <w:pStyle w:val="TableContents"/>
              <w:bidi w:val="0"/>
              <w:spacing w:before="0" w:after="283"/>
              <w:jc w:val="left"/>
              <w:rPr/>
            </w:pPr>
            <w:r>
              <w:rPr/>
              <w:t>Contributions from non-controlling interests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(21</w:t>
            </w:r>
          </w:p>
        </w:tc>
        <w:tc>
          <w:tcPr>
            <w:tcW w:w="170" w:type="dxa"/>
            <w:tcBorders/>
            <w:vAlign w:val="center"/>
          </w:tcPr>
          <w:p>
            <w:pPr>
              <w:pStyle w:val="TableContents"/>
              <w:bidi w:val="0"/>
              <w:spacing w:before="0" w:after="283"/>
              <w:ind w:left="0" w:right="0" w:hanging="0"/>
              <w:jc w:val="left"/>
              <w:rPr/>
            </w:pPr>
            <w:r>
              <w:rPr/>
              <w:t>)</w:t>
            </w:r>
          </w:p>
        </w:tc>
      </w:tr>
      <w:tr>
        <w:trPr/>
        <w:tc>
          <w:tcPr>
            <w:tcW w:w="7325" w:type="dxa"/>
            <w:tcBorders/>
            <w:shd w:fill="CCEEFF" w:val="clear"/>
            <w:vAlign w:val="center"/>
          </w:tcPr>
          <w:p>
            <w:pPr>
              <w:pStyle w:val="TableContents"/>
              <w:bidi w:val="0"/>
              <w:spacing w:before="0" w:after="283"/>
              <w:jc w:val="left"/>
              <w:rPr/>
            </w:pPr>
            <w:r>
              <w:rPr/>
              <w:t>Proceeds from warrants exercise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9,184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7325" w:type="dxa"/>
            <w:tcBorders/>
            <w:vAlign w:val="center"/>
          </w:tcPr>
          <w:p>
            <w:pPr>
              <w:pStyle w:val="TableContents"/>
              <w:bidi w:val="0"/>
              <w:spacing w:before="0" w:after="283"/>
              <w:jc w:val="left"/>
              <w:rPr/>
            </w:pPr>
            <w:r>
              <w:rPr/>
              <w:t>Loans received from third parties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w:t>
            </w:r>
          </w:p>
        </w:tc>
        <w:tc>
          <w:tcPr>
            <w:tcW w:w="170" w:type="dxa"/>
            <w:tcBorders/>
            <w:vAlign w:val="center"/>
          </w:tcPr>
          <w:p>
            <w:pPr>
              <w:pStyle w:val="TableContents"/>
              <w:bidi w:val="0"/>
              <w:spacing w:before="0" w:after="283"/>
              <w:ind w:left="0" w:right="0" w:hanging="0"/>
              <w:jc w:val="left"/>
              <w:rPr/>
            </w:pPr>
            <w:r>
              <w:rPr/>
              <w:t>)</w:t>
            </w:r>
          </w:p>
        </w:tc>
      </w:tr>
      <w:tr>
        <w:trPr/>
        <w:tc>
          <w:tcPr>
            <w:tcW w:w="7325" w:type="dxa"/>
            <w:tcBorders/>
            <w:shd w:fill="CCEEFF" w:val="clear"/>
            <w:vAlign w:val="center"/>
          </w:tcPr>
          <w:p>
            <w:pPr>
              <w:pStyle w:val="TableContents"/>
              <w:bidi w:val="0"/>
              <w:spacing w:before="0" w:after="283"/>
              <w:jc w:val="left"/>
              <w:rPr/>
            </w:pPr>
            <w:r>
              <w:rPr/>
              <w:t>Proceeds from issuance of ordinary shares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69,065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9,244</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7325" w:type="dxa"/>
            <w:tcBorders/>
            <w:vAlign w:val="center"/>
          </w:tcPr>
          <w:p>
            <w:pPr>
              <w:pStyle w:val="TableContents"/>
              <w:bidi w:val="0"/>
              <w:spacing w:before="0" w:after="283"/>
              <w:jc w:val="left"/>
              <w:rPr/>
            </w:pPr>
            <w:r>
              <w:rPr/>
              <w:t>Net cash provided by financing activities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78,247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9,240</w:t>
            </w:r>
          </w:p>
        </w:tc>
        <w:tc>
          <w:tcPr>
            <w:tcW w:w="170" w:type="dxa"/>
            <w:tcBorders/>
            <w:vAlign w:val="center"/>
          </w:tcPr>
          <w:p>
            <w:pPr>
              <w:pStyle w:val="TableContents"/>
              <w:bidi w:val="0"/>
              <w:spacing w:before="0" w:after="283"/>
              <w:ind w:left="0" w:right="0" w:hanging="0"/>
              <w:jc w:val="left"/>
              <w:rPr/>
            </w:pPr>
            <w:r>
              <w:rPr/>
              <w:t> </w:t>
            </w:r>
          </w:p>
        </w:tc>
      </w:tr>
      <w:tr>
        <w:trPr/>
        <w:tc>
          <w:tcPr>
            <w:tcW w:w="7325" w:type="dxa"/>
            <w:tcBorders/>
            <w:shd w:fill="CCEEFF" w:val="clear"/>
            <w:vAlign w:val="center"/>
          </w:tcPr>
          <w:p>
            <w:pPr>
              <w:pStyle w:val="TableContents"/>
              <w:bidi w:val="0"/>
              <w:spacing w:before="0" w:after="283"/>
              <w:jc w:val="left"/>
              <w:rPr/>
            </w:pPr>
            <w:r>
              <w:rPr/>
              <w:t>Net change in 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78,182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5,261</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7325" w:type="dxa"/>
            <w:tcBorders/>
            <w:vAlign w:val="center"/>
          </w:tcPr>
          <w:p>
            <w:pPr>
              <w:pStyle w:val="TableContents"/>
              <w:bidi w:val="0"/>
              <w:spacing w:before="0" w:after="283"/>
              <w:jc w:val="left"/>
              <w:rPr/>
            </w:pPr>
            <w:r>
              <w:rPr/>
              <w:t>Cash and cash equivalents at beginning of the period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193,629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14,566</w:t>
            </w:r>
          </w:p>
        </w:tc>
        <w:tc>
          <w:tcPr>
            <w:tcW w:w="170" w:type="dxa"/>
            <w:tcBorders/>
            <w:vAlign w:val="center"/>
          </w:tcPr>
          <w:p>
            <w:pPr>
              <w:pStyle w:val="TableContents"/>
              <w:bidi w:val="0"/>
              <w:spacing w:before="0" w:after="283"/>
              <w:ind w:left="0" w:right="0" w:hanging="0"/>
              <w:jc w:val="left"/>
              <w:rPr/>
            </w:pPr>
            <w:r>
              <w:rPr/>
              <w:t> </w:t>
            </w:r>
          </w:p>
        </w:tc>
      </w:tr>
      <w:tr>
        <w:trPr/>
        <w:tc>
          <w:tcPr>
            <w:tcW w:w="7325" w:type="dxa"/>
            <w:tcBorders/>
            <w:shd w:fill="CCEEFF" w:val="clear"/>
            <w:vAlign w:val="center"/>
          </w:tcPr>
          <w:p>
            <w:pPr>
              <w:pStyle w:val="TableContents"/>
              <w:bidi w:val="0"/>
              <w:spacing w:before="0" w:after="283"/>
              <w:jc w:val="left"/>
              <w:rPr/>
            </w:pPr>
            <w:r>
              <w:rPr/>
              <w:t>Cash and cash equivalents at end of the period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271,811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19,827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k_008"/>
      <w:bookmarkEnd w:id="9"/>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2025 AND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Nature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Richtech Robotics Inc. (“we”, “us”, “our” or “Richtech”), is a C-Corporation registered in Nevada. Richtech was originally established as Richtech Creative Displays, LLC in Nevada on July 19, 2016, and converted to a Nevada corporation on June 22, 2022. We completed our initial public offering on November 21, 2023, and shares of our Class B common stock began trading on the Nasdaq Capital Market on November 17, 2023 under the symbol “RR.”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robotics and artificial intelligence (“AI”) technology company focused on developing advanced embodied AI systems that aim to improve the efficiency and productivity of U.S. businesses. Richtech trains proprietary artificial intelligence models on in-house data to operate advanced robotic systems in the real world. We design, engineer, manufacture, and deploy next generation embodied AI systems to serve a wide range of industries—including food service, retail, industrial manufacturing, automotive, healthcare, and hospitality. Our robots are designed to be user friendly, reliable, and highly customizable, with the goal of driving tangible profit and loss (“P&amp;L”) improvements for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operations are sensitive to general business and economic conditions worldwide. These conditions include short-term and long-term interest rates, inflation, fluctuations in debt and equity capital markets and the general condition of the world economy and geopolitical instability, such as the military conflicts in Ukraine, the Middle East and Venezuela. A host of factors beyond our control could cause fluctuations in these conditions. Adverse developments in these general business and economic conditions could have a material adverse effect on our financial condition and the results of our   operations. In addition, we compete with many companies that currently have extensive and well-funded projects, marketing and sales operations. We may be unable to compete successfully against these companies. Our industry is characterized by rapid changes in technology and market demands. As a result, our products, services, or expertise may become obsolete or unmarketable. Our future success will depend on our   ability to adapt to technological advances, anticipate customer and market demands, and enhance our current technology under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use this extended transition period for complying with new or revised accounting standards that have different effective dates for public and private companies until the earlier of the date that we are (1)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(1) the last day of the first fiscal year (A) following the fifth anniversary of the completion of our initial public offering on November 21, 2023, (B) in which our total annual gross revenue is at least $1.235 billion or (C) when we are deemed to be a large accelerated filer, which means the market value of our common stock that is held by non-affiliates exceeds $700.0 million as of our most recently completed second fiscal quarter and (2) the date on which we have issued more than $1.0 billion in non-convertible debt securities during the prior three-year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2025 AND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and accompanying notes have been prepared in accordance with accounting principles generally accepted in the United States (“GAAP”), pursuant to the rules and regulations of the Securities and Exchange Commission (“SEC”). All intercompany accounts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GAAP requires management to make estimates and assumptions that affect the reported amounts of assets and liabilities at the dates of the financial statements and the reported amounts of revenues and expenses during the reporting periods.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as components of an enterprise about which separate financial information is available for evaluation by the chief operating decision-maker in making decisions regarding resource allocation and assessing performance. We view our operations and manage our business as one operating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all highly liquid investments purchased with an original maturity of three months or less to be cash equivalents. We place our cash and cash equivalents in highly liquid instruments with, and in the custody of, financial institutions with high credit ratings.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may be comprised of a combination of marketable securities, including U.S. government securities, corporate debt securities, commercial paper, time deposits, and certain certificates of deposit, which are all designated as available-for-sale and reported at estimated fair value, with unrealized gains and losses recorded in accumulated other comprehensive income which is included within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Available-for-sale marketable securities with maturities greater than three months at the date of purchase are included in short-term investments in our consolidated balance sheets. Interest, dividends, amortization and accretion of purchase premiums and discounts on these investments are included within interest income in our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available-for-sale investments sold is based on the specific identification method. Realized gains and losses on the sale of available-for-sale investments are recorded in other income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review all of our investments for declines in fair value. The review includes but is not limited to (i) the consideration of the cause of the decline, (ii) any currently recorded expected credit losses and (iii) the creditworthiness of the respective security issuers. The amortized cost basis of our investments approximates its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2025 AND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accounts receivable primarily consist of trade receivables, which represent amounts owed to us by customers for products and services provided. These receivables are presented net of any rebates, price protection adjustments, and an allowance for credit losses. In addition to trade receivables, our accounts receivable also include unbilled receivables. These primarily relate to work completed on development services for which revenue has been recognized but not yet invoiced to customers. We expect these unbilled receivables to be billed and collected within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actively manage our exposure to customer credit risk through various measures, including credit limits, credit lines, ongoing monitoring procedures, and credit approvals. We perform in-depth credit evaluations of all new customers and periodically reassess the creditworthiness of existing customers. If deemed necessary, we may require letters of credit, bank or corporate guarantees, or advance payments to mitigate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account for potential losses from uncollectible accounts, we maintain an allowance for credit losses. This allowance considers both specific troubled accounts and an overall estimate of potential uncollectible receivables based on historical experience and current credit quality assessments. As of December 31, 2025, the allowance for credit losses was $99, compared to $103 as of December 31, 2024.   We believe that our rigorous credit risk management practices and the allowance for credit losses adequately address the potential risks for uncollectible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value inventory at standard cost, adjusted to approximate the lower of actual cost or estimated net realizable value using assumptions about future demand and market conditions. In determining excess or obsolescence reserves for our products, we consider assumptions such as changes in business and economic conditions, other-than-temporary decreases in demand for our products, and changes in technology or customer requirements. In determining the lower of cost or net realizable value reserves, we consider assumptions such as recent historical sales activity and selling prices, as well as estimates of future selling prices. We fully reserve for inventories and non-cancellable purchase orders for inventory deemed obsolete. We perform periodic reviews of inventory items to identify excess inventories on hand by comparing on-hand balances and non-cancellable purchase orders to anticipated usage using recent historical activity as well as anticipated or forecasted demand. If estimates of customer demand diminish further or market conditions become less favorable than those projected by us, additional inventory carrying value adjustments may be required.</w:t>
      </w:r>
    </w:p>
    <w:p>
      <w:pPr>
        <w:pStyle w:val="TextBody"/>
        <w:bidi w:val="0"/>
        <w:spacing w:before="0" w:after="0"/>
        <w:ind w:left="0" w:right="0" w:firstLine="32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2025 AND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intangible assets consist of multiple systems purchased for our robotic product. These assets are amortized using the straight-line method over their estimated useful life of 10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assess our intangible assets for impairment whenever events or changes in circumstances indicate that the carrying amount of an asset or asset group may not be recoverable. In addition, a formal review is performed at each fiscal year-end. If such indicators are present, we perform a recoverability test by comparing the asset’s carrying amount to the estimated undiscounted future cash flows expected to be generated by the asset or the asset group to which it belongs. If the carrying amount exceeds the estimated undiscounted future cash flows, an impairment loss is recognized for the amount by which the carrying amount exceeds the asset’s fair value. Fair value is typically determined based on discounted cash flow models or, when available, observable market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and Privileges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second amended and restated articles of incorporation, as amended, our authorized capital stock consists of an aggregate of 110,000,000 shares of common stock, including 100,000,000 shares of Class A common stock and 1,000,000,000 shares of Class B common stock, and 10,000,000 shares of “blank check” preferred stock. The following description summarizes the material terms of our securities registered under Section 12 of the Exchange Act and does not purport to be complete. It is subject to, and qualified in its entirety by reference to, our second amended and restated articles of incorporation and our amended and restated bylaws.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Nevada Revised Statutes (“NRS”), each holder of Class A common stock is entitled to ten (10) votes in respect of each share of Class A common stock held by him, her, or it of record on our books, and each holder of Class B common stock is entitled to one (1) vote in respect of each share of Class B common stock held by him, her, or it of record on our books, in connection with the election of directors and on all matters submitted to a vote of our stockholders. Each share of Class A common stock is convertible into one share of Class B common stock at any time at the option of the holder, but Class B common stock shall not be convertible into Class A common stock under any circumstances. Holders of our common stock do not have preemptive, subscription, or redemption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2025 AND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unless otherwise 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we transfer promised goods or services to our customers, in amounts that reflect the consideration that we expect to receive in exchange for those goods or services. In determining the appropriate amount of revenue to be recognized as we fulfill our obligations under each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We only apply the five-step model to contracts when it is probable that we will collect the consideration we are entitled to in exchange for the goods or services we transfer to the customer.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arrangements that bundle robotic products, maintenance, and technical support services, we exercise significant judgment in determining whether these items are distinct. Robotic products are typically considered distinct performance obligations as customers can benefit from the product on its own. Maintenance and technical support services, which may include scheduled inspections, repairs, remote troubleshooting, and spare parts provisions, are generally considered distinct performance obligations when they are separately priced, optional, and can be performed by another vendor. However, when these services are embedded as a mandatory component of a bundled contract (e.g., a RaaS arrangement) and are integral to the promised continuous operational capability, they are not considered distinct and are combined with the overall service promise as a single performance obligation. We allocate the transaction price to each distinct performance obligation based on its relative standalone selling price, which is determined based on observable standalone sales or, if not available, estimated using expected cost-plus-margin approaches.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when control of a promised good or service transfers to a customer. Control can transfer at a point in time or over time. Revenue from the sale of robotic products is recognized at a point in time, typically upon shipment or delivery when legal title and the significant risks and rewards of ownership have transferred to the customer. This is assessed based on the terms of sale (e.g., Free On Board shipping point or Free On Board destination) and when the customer obtains physical possession, bears the risk of loss, and has an unconditional obligation to pay. Revenue from Robotics-as-a-Service (“RaaS”) arrangements is recognized over time, as the customer simultaneously receives and consumes the benefits of our continuous provision of robotic functionality, maintenance, and technical support services. We use   the straight-line method of recognition over the contract term as the most faithful depiction of the transfer of services, unless evidence suggests another method better reflects the pattern of performance. The assessment of whether control transfers over time is based on the criteria in ASC 606, including whether (a) the customer simultaneously receives and consumes benefits as we perform, or (b) our performance does not create an asset with an alternative use to us and we have an enforceable right to payment for performance completed to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the amount of consideration to which we expect to be entitled in exchange for transferring promised goods or services to a customer. Our contracts contain fixed consideration. We do not offer variable consideration elements such as usage-based fees, price concessions, rebates, penalties, or performance bonuses. Therefore, the transaction price for all contracts equals the fixed, non-refundable amount stated in the contract.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contract inception, we assess the customer’s ability and intent to pay the promised consideration. A contract is only accounted for under ASC 606 if it is probable we will collect substantially all of the consideration to which it is entitled. This collectability assessment involves evaluating the customer’s creditworthiness using both quantitative and qualitative factors. For new customers, this includes reviewing credit ratings (if available), financial statements, and payment history with other parties. For existing customers, we review historical payment patterns, current financial health, and the impact of prevailing economic conditions. If, after contract inception, a significant deterioration in a customer’s creditworthiness indicates that collectability of substantially all of the remaining consideration is no longer probable, we cease to recognize additional revenue and assess the need for a credit loss provision on any recognized contract assets or receivables.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2025 AND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Revenue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through the sale of our branded robotic products directly to customers. We consider customer purchase orders, which in some cases are governed by master sales agreements, to be the contracts with our customers. There is a single performance obligation in all our contracts, which is our promise to transfer our product to customers based on specific payment and shipping terms in the arrangement. The entire transaction price is allocated to this single performance obligation. Product revenue is recognized when a customer obtains control of our product, which occurs at a point in time and may be upon shipment or delivery, based on the terms of the contract.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Robots-as-a-Service (RaaS)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evolving business model, we generate revenue through our Robots-as-a-Service (RaaS) offerings, which provide customers with ongoing access to our robotic solutions under long-term contracts. For RaaS agreements, revenue is recognized over time on a monthly basis as the services are provided and the customer benefits from the use of the robotic solutions.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typically fixed and allocated evenly across the contract term. Revenue recognition begins once the robots are installed and operational at the customer’s site. We account for RaaS arrangements under ASC 606, Revenue from Contracts with Customers. These contracts provide customers with continuous usage of our robotic products, maintenance, and technical support services, in exchange for a fixed fee. We have determined that these are service contracts, as the customer is contracting for an integrated service output and we retain substantial ownership risks and control over the deployed robotic assets, including responsibility for maintenance, upgrades, and ensuring uptime. The customer does not have the right to direct the use of, nor obtain substantially all the economic benefits from, a specifically identified asset. Revenue from these fixed-fee contracts is recognized on a straight-line basis over the contractual service period as the customer simultaneously receives and consumes the benefits.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Remaining Performance Obligations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performance obligations represent the aggregate amount of the transaction price allocated to unsatisfied or partially unsatisfied performance obligations as of the balance sheet date. This amount relates primarily to the fixed consideration in non-cancelable RaaS contracts for which revenue is recognized over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total amount of the transaction price allocated to remaining performance obligations was $1,722. Of this amount, $870 is expected to be recognized as revenue within the next 12 months, $575 is expected to be recognized between 13 and 24 months, and the remaining $277 is expected to be recognized beyond 24 months.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assets and contract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contract-related balance sheet accounts under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which primarily arise from RaaS arrangements.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(Unbilled Receivables) represent revenue recognized for performance obligations satisfied but not yet billed as of the balance sheet date. These assets are generated when revenue is recognized over time under RaaS contracts, while invoicing occurs on a periodic or milestone basis. Contract assets are reclassified to accounts receivable when the right to payment becomes unconditional.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(Deferred Revenue) consist of payments received from customers in advance of performance. These liabilities relate primarily to advance payments for RaaS subscriptions and are recognized as revenue as the related services are provided over the contract term. As of December 31, 2025, the balance of contract liabilities was $358.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2025 AND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Revenue Policies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value add, and other taxes collected on behalf of third parties are excluded from revenue.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assess whether a contract has a significant financing component if the expectation at contract inception is such that the period between payment by the customer and the transfer of the promised products to the customer will be one year or less, which is the case with substantially all customers.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incremental costs of obtaining contracts as an expense when incurred if the amortization period of the assets that we otherwise would have recognized is one year or less. These costs are included in selling expenses.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shipping and handling activities related to contracts with customers as costs to fulfill the promise to transfer the associated products. We record the related costs within cost of goods sold.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Costs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primarily consist of employee-related expenses, including salaries and benefits, facilities costs, depreciation, and other allocated expenses. Research and development costs are expensed as incurred.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in accordance with income tax accounting guidance (Financial Accounting Standards Board (“FASB”) Accounting Standards Codification (“ASC”) 740, Income Taxes). The income tax accounting guidance results in two components of income tax expense: current and deferred. Current income tax expense reflects taxes to be paid or refunded for the current period by applying the provisions of the enacted tax law to the taxable income or excess of deductions over revenues. We determine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 Deferred income tax expense results from changes in deferred tax assets and liabilities between periods. Deferred tax assets are reduced by a valuation allowance if, based on the weight of evidence available, it is more likely than not some portion or all of a deferred tax asset will not be realized.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positions are recognized if it is more likely than not, based on the technical merits,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more-likely-than-not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more-likely-than-not recognition threshold considers the facts, circumstances and information available at the reporting date and is subject to management’s judgment.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interest and penalties on income taxes as a component of income tax expense.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2016, the FASB issued Accounting Standards Update (“ASU”) 2016-02,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xml:space="preserve"> (“Topic 842”). The guidance in this ASU supersedes the leasing guidance in Topic 840,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statement of operations. The standard is effective for public business entities for fiscal years beginning after December 15, 2018. As an emerging growth company, we adopted the new standard on January 1, 2022. For our years ended September 30, 2024 and 2025, we had operating leases for which we were required to recognize a right-of-use asset and lease liability.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2019, the FASB issued ASU 2019-12, </w:t>
      </w:r>
      <w:r>
        <w:rPr>
          <w:rFonts w:ascii="Times New Roman;Times;Serif" w:hAnsi="Times New Roman;Times;Serif"/>
          <w:b w:val="false"/>
          <w:i/>
          <w:caps w:val="false"/>
          <w:smallCaps w:val="false"/>
          <w:sz w:val="20"/>
        </w:rPr>
        <w:t>Income Taxes (Topic 740), Simplifying the Accounting for Income Taxes</w:t>
      </w:r>
      <w:r>
        <w:rPr>
          <w:rFonts w:ascii="Times New Roman;Times;Serif" w:hAnsi="Times New Roman;Times;Serif"/>
          <w:b w:val="false"/>
          <w:i w:val="false"/>
          <w:caps w:val="false"/>
          <w:smallCaps w:val="false"/>
          <w:sz w:val="20"/>
        </w:rPr>
        <w:t>, which amends the approaches and methodologies in accounting for income taxes during interim periods and makes changes to certain income tax classifications. The new standard allows certain exceptions, including an exception to the use of the incremental approach for intra-period tax allocation, when there is a loss from continuing operations and income or a gain from other items, and to the general methodology for calculating income taxes in an interim period, when a year-to-date loss exceeds the anticipated loss for the year. The standard also requires franchise or similar taxes partially based on income to be reported as income tax and to reflect the effects of enacted changes in tax laws or rates in the annual effective tax rate computation from the date of enactment. Lastly, in any future acquisition, we would be required to evaluate when the step-up in the tax basis of goodwill is part of the business combination and when it should be considered a separate transaction. The standard was effective for us beginning January 1, 2022, with early adoption of the amendments permitted. The adoption of ASU 2019-12 did not have a material impact on our financial statements and disclosures.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2025 AND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2020, the FASB issued ASU 2021-04, Earnings Per Share (Topic 260), Debt-Modifications and Extinguishments (Subtopic 470-50), Compensation-Stock Compensation (Topic 718), and Derivatives and Hedging-Contracts in Entity’s Own Equity (Subtopic 815- 40): Issuer’s Accounting for Certain Modifications or Exchanges of Freestanding Equity-Classified Written Call Options (“ASU 2021-04”). ASU 2021-04 provides guidance for a modification or an exchange of a freestanding equity-classified written call option that is not within the scope of another topic. ASU 2021-04 is effective for fiscal years beginning after December 15, 2021. We have determined the adoption of ASU 2021-04 did not have a material impact on our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(“ASC 820”) states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three-tiered fair value hierarchy, which prioritizes which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 Our assets and liabilities that were measured at fair value on a recurring basis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8"/>
        <w:gridCol w:w="90"/>
        <w:gridCol w:w="195"/>
        <w:gridCol w:w="814"/>
        <w:gridCol w:w="90"/>
        <w:gridCol w:w="90"/>
        <w:gridCol w:w="170"/>
        <w:gridCol w:w="590"/>
        <w:gridCol w:w="90"/>
        <w:gridCol w:w="90"/>
        <w:gridCol w:w="170"/>
        <w:gridCol w:w="710"/>
        <w:gridCol w:w="90"/>
        <w:gridCol w:w="90"/>
        <w:gridCol w:w="273"/>
        <w:gridCol w:w="492"/>
        <w:gridCol w:w="90"/>
        <w:gridCol w:w="90"/>
        <w:gridCol w:w="195"/>
        <w:gridCol w:w="814"/>
        <w:gridCol w:w="90"/>
        <w:gridCol w:w="90"/>
        <w:gridCol w:w="170"/>
        <w:gridCol w:w="590"/>
        <w:gridCol w:w="90"/>
        <w:gridCol w:w="90"/>
        <w:gridCol w:w="170"/>
        <w:gridCol w:w="710"/>
        <w:gridCol w:w="90"/>
        <w:gridCol w:w="90"/>
        <w:gridCol w:w="242"/>
        <w:gridCol w:w="523"/>
        <w:gridCol w:w="139"/>
      </w:tblGrid>
      <w:tr>
        <w:trPr/>
        <w:tc>
          <w:tcPr>
            <w:tcW w:w="18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139"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III</w:t>
            </w:r>
          </w:p>
        </w:tc>
        <w:tc>
          <w:tcPr>
            <w:tcW w:w="139" w:type="dxa"/>
            <w:tcBorders/>
            <w:vAlign w:val="center"/>
          </w:tcPr>
          <w:p>
            <w:pPr>
              <w:pStyle w:val="TableContents"/>
              <w:bidi w:val="0"/>
              <w:spacing w:before="0" w:after="283"/>
              <w:ind w:left="0" w:right="0" w:hanging="180"/>
              <w:jc w:val="left"/>
              <w:rPr/>
            </w:pPr>
            <w:r>
              <w:rPr/>
              <w:t> </w:t>
            </w:r>
          </w:p>
        </w:tc>
      </w:tr>
      <w:tr>
        <w:trPr/>
        <w:tc>
          <w:tcPr>
            <w:tcW w:w="1888" w:type="dxa"/>
            <w:tcBorders/>
            <w:shd w:fill="CCEEFF" w:val="clear"/>
            <w:vAlign w:val="center"/>
          </w:tcPr>
          <w:p>
            <w:pPr>
              <w:pStyle w:val="TableContents"/>
              <w:bidi w:val="0"/>
              <w:spacing w:before="0" w:after="283"/>
              <w:jc w:val="left"/>
              <w:rPr/>
            </w:pPr>
            <w:r>
              <w:rPr/>
              <w:t>U.S. government securities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17,000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17,000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w:t>
            </w:r>
          </w:p>
        </w:tc>
        <w:tc>
          <w:tcPr>
            <w:tcW w:w="492"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17,000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17,000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523" w:type="dxa"/>
            <w:tcBorders/>
            <w:shd w:fill="CCEEFF" w:val="clear"/>
            <w:vAlign w:val="center"/>
          </w:tcPr>
          <w:p>
            <w:pPr>
              <w:pStyle w:val="TableContents"/>
              <w:bidi w:val="0"/>
              <w:spacing w:before="0" w:after="0"/>
              <w:jc w:val="right"/>
              <w:rPr/>
            </w:pPr>
            <w:r>
              <w:rPr/>
              <w:t>    </w:t>
            </w:r>
            <w:r>
              <w:rPr/>
              <w:t>-</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1888" w:type="dxa"/>
            <w:tcBorders/>
            <w:vAlign w:val="center"/>
          </w:tcPr>
          <w:p>
            <w:pPr>
              <w:pStyle w:val="TableContents"/>
              <w:bidi w:val="0"/>
              <w:spacing w:before="0" w:after="283"/>
              <w:jc w:val="left"/>
              <w:rPr/>
            </w:pPr>
            <w:r>
              <w:rPr/>
              <w:t>Certificates of deposit</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39,683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39,683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49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41,308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41,308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0"/>
              <w:jc w:val="right"/>
              <w:rPr/>
            </w:pPr>
            <w:r>
              <w:rPr/>
              <w:t>-</w:t>
            </w:r>
          </w:p>
        </w:tc>
        <w:tc>
          <w:tcPr>
            <w:tcW w:w="139" w:type="dxa"/>
            <w:tcBorders/>
            <w:vAlign w:val="center"/>
          </w:tcPr>
          <w:p>
            <w:pPr>
              <w:pStyle w:val="TableContents"/>
              <w:bidi w:val="0"/>
              <w:spacing w:before="0" w:after="283"/>
              <w:ind w:left="0" w:right="0" w:hanging="180"/>
              <w:jc w:val="left"/>
              <w:rPr/>
            </w:pPr>
            <w:r>
              <w:rPr/>
              <w:t> </w:t>
            </w:r>
          </w:p>
        </w:tc>
      </w:tr>
      <w:tr>
        <w:trPr/>
        <w:tc>
          <w:tcPr>
            <w:tcW w:w="1888"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pPr>
            <w:r>
              <w:rPr/>
              <w:t>5,572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5,572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pPr>
            <w:r>
              <w:rPr/>
              <w:t>5,518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5,518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1888"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95" w:type="dxa"/>
            <w:tcBorders>
              <w:bottom w:val="double" w:sz="10" w:space="0" w:color="000000"/>
            </w:tcBorders>
            <w:tcMar>
              <w:bottom w:w="28" w:type="dxa"/>
            </w:tcMar>
            <w:vAlign w:val="center"/>
          </w:tcPr>
          <w:p>
            <w:pPr>
              <w:pStyle w:val="TableContents"/>
              <w:bidi w:val="0"/>
              <w:spacing w:before="0" w:after="283"/>
              <w:jc w:val="left"/>
              <w:rPr/>
            </w:pPr>
            <w:r>
              <w:rPr/>
              <w:t>$</w:t>
            </w:r>
          </w:p>
        </w:tc>
        <w:tc>
          <w:tcPr>
            <w:tcW w:w="814" w:type="dxa"/>
            <w:tcBorders>
              <w:bottom w:val="double" w:sz="10" w:space="0" w:color="000000"/>
            </w:tcBorders>
            <w:tcMar>
              <w:bottom w:w="28" w:type="dxa"/>
            </w:tcMar>
            <w:vAlign w:val="center"/>
          </w:tcPr>
          <w:p>
            <w:pPr>
              <w:pStyle w:val="TableContents"/>
              <w:bidi w:val="0"/>
              <w:spacing w:before="0" w:after="283"/>
              <w:jc w:val="right"/>
              <w:rPr/>
            </w:pPr>
            <w:r>
              <w:rPr/>
              <w:t>62,255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5,572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56,683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3" w:type="dxa"/>
            <w:tcBorders>
              <w:bottom w:val="double" w:sz="10" w:space="0" w:color="000000"/>
            </w:tcBorders>
            <w:tcMar>
              <w:bottom w:w="28" w:type="dxa"/>
            </w:tcMar>
            <w:vAlign w:val="center"/>
          </w:tcPr>
          <w:p>
            <w:pPr>
              <w:pStyle w:val="TableContents"/>
              <w:bidi w:val="0"/>
              <w:spacing w:before="0" w:after="283"/>
              <w:jc w:val="left"/>
              <w:rPr/>
            </w:pPr>
            <w:r>
              <w:rPr/>
              <w:t>$</w:t>
            </w:r>
          </w:p>
        </w:tc>
        <w:tc>
          <w:tcPr>
            <w:tcW w:w="492"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bottom w:val="double" w:sz="10" w:space="0" w:color="000000"/>
            </w:tcBorders>
            <w:tcMar>
              <w:bottom w:w="28" w:type="dxa"/>
            </w:tcMar>
            <w:vAlign w:val="center"/>
          </w:tcPr>
          <w:p>
            <w:pPr>
              <w:pStyle w:val="TableContents"/>
              <w:bidi w:val="0"/>
              <w:spacing w:before="0" w:after="283"/>
              <w:jc w:val="left"/>
              <w:rPr/>
            </w:pPr>
            <w:r>
              <w:rPr/>
              <w:t>$</w:t>
            </w:r>
          </w:p>
        </w:tc>
        <w:tc>
          <w:tcPr>
            <w:tcW w:w="814" w:type="dxa"/>
            <w:tcBorders>
              <w:bottom w:val="double" w:sz="10" w:space="0" w:color="000000"/>
            </w:tcBorders>
            <w:tcMar>
              <w:bottom w:w="28" w:type="dxa"/>
            </w:tcMar>
            <w:vAlign w:val="center"/>
          </w:tcPr>
          <w:p>
            <w:pPr>
              <w:pStyle w:val="TableContents"/>
              <w:bidi w:val="0"/>
              <w:spacing w:before="0" w:after="283"/>
              <w:jc w:val="right"/>
              <w:rPr/>
            </w:pPr>
            <w:r>
              <w:rPr/>
              <w:t>63,826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5,518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58,308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double" w:sz="10" w:space="0" w:color="000000"/>
            </w:tcBorders>
            <w:tcMar>
              <w:bottom w:w="28" w:type="dxa"/>
            </w:tcMar>
            <w:vAlign w:val="center"/>
          </w:tcPr>
          <w:p>
            <w:pPr>
              <w:pStyle w:val="TableContents"/>
              <w:bidi w:val="0"/>
              <w:spacing w:before="0" w:after="283"/>
              <w:jc w:val="left"/>
              <w:rPr/>
            </w:pPr>
            <w:r>
              <w:rPr/>
              <w:t>$</w:t>
            </w:r>
          </w:p>
        </w:tc>
        <w:tc>
          <w:tcPr>
            <w:tcW w:w="523" w:type="dxa"/>
            <w:tcBorders>
              <w:bottom w:val="double" w:sz="10" w:space="0" w:color="000000"/>
            </w:tcBorders>
            <w:tcMar>
              <w:bottom w:w="28" w:type="dxa"/>
            </w:tcMar>
            <w:vAlign w:val="center"/>
          </w:tcPr>
          <w:p>
            <w:pPr>
              <w:pStyle w:val="TableContents"/>
              <w:bidi w:val="0"/>
              <w:spacing w:before="0" w:after="0"/>
              <w:jc w:val="right"/>
              <w:rPr/>
            </w:pPr>
            <w:r>
              <w:rPr/>
              <w:t>-</w:t>
            </w:r>
          </w:p>
        </w:tc>
        <w:tc>
          <w:tcPr>
            <w:tcW w:w="13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 government securities and certificates of deposit are classified within Level II of the fair value hierarchy and the market approach was used to determine fair value of these investments.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cash equivalents and investments classified by security type as of December 31, 2025 and September 30, 2025 consisted of the following:</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9"/>
        <w:gridCol w:w="90"/>
        <w:gridCol w:w="170"/>
        <w:gridCol w:w="830"/>
        <w:gridCol w:w="90"/>
        <w:gridCol w:w="90"/>
        <w:gridCol w:w="340"/>
        <w:gridCol w:w="820"/>
        <w:gridCol w:w="90"/>
        <w:gridCol w:w="90"/>
        <w:gridCol w:w="220"/>
        <w:gridCol w:w="940"/>
        <w:gridCol w:w="90"/>
        <w:gridCol w:w="90"/>
        <w:gridCol w:w="175"/>
        <w:gridCol w:w="859"/>
        <w:gridCol w:w="90"/>
        <w:gridCol w:w="90"/>
        <w:gridCol w:w="212"/>
        <w:gridCol w:w="1038"/>
        <w:gridCol w:w="90"/>
        <w:gridCol w:w="90"/>
        <w:gridCol w:w="240"/>
        <w:gridCol w:w="1025"/>
        <w:gridCol w:w="137"/>
      </w:tblGrid>
      <w:tr>
        <w:trPr/>
        <w:tc>
          <w:tcPr>
            <w:tcW w:w="22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69"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137" w:type="dxa"/>
            <w:tcBorders/>
            <w:vAlign w:val="center"/>
          </w:tcPr>
          <w:p>
            <w:pPr>
              <w:pStyle w:val="TableContents"/>
              <w:bidi w:val="0"/>
              <w:spacing w:before="0" w:after="283"/>
              <w:jc w:val="left"/>
              <w:rPr/>
            </w:pPr>
            <w:r>
              <w:rPr/>
              <w:t> </w:t>
            </w:r>
          </w:p>
        </w:tc>
      </w:tr>
      <w:tr>
        <w:trPr/>
        <w:tc>
          <w:tcPr>
            <w:tcW w:w="22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Adjusted</w:t>
              <w:br/>
              <w:t>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br/>
              <w:t>Unrealized</w:t>
              <w:br/>
              <w:t>Gains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br/>
              <w:t>Unrealized</w:t>
              <w:br/>
              <w:t>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Cash and </w:t>
              <w:br/>
              <w:t>Cash</w:t>
              <w:br/>
              <w:t>Equivalents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Short-Term</w:t>
              <w:br/>
              <w:t>Investments</w:t>
            </w:r>
          </w:p>
        </w:tc>
        <w:tc>
          <w:tcPr>
            <w:tcW w:w="137" w:type="dxa"/>
            <w:tcBorders/>
            <w:vAlign w:val="center"/>
          </w:tcPr>
          <w:p>
            <w:pPr>
              <w:pStyle w:val="TableContents"/>
              <w:bidi w:val="0"/>
              <w:spacing w:before="0" w:after="283"/>
              <w:ind w:left="0" w:right="0" w:hanging="180"/>
              <w:jc w:val="left"/>
              <w:rPr/>
            </w:pPr>
            <w:r>
              <w:rPr/>
              <w:t> </w:t>
            </w:r>
          </w:p>
        </w:tc>
      </w:tr>
      <w:tr>
        <w:trPr/>
        <w:tc>
          <w:tcPr>
            <w:tcW w:w="2209"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266,239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859" w:type="dxa"/>
            <w:tcBorders/>
            <w:shd w:fill="CCEEFF" w:val="clear"/>
            <w:vAlign w:val="center"/>
          </w:tcPr>
          <w:p>
            <w:pPr>
              <w:pStyle w:val="TableContents"/>
              <w:bidi w:val="0"/>
              <w:spacing w:before="0" w:after="283"/>
              <w:jc w:val="right"/>
              <w:rPr/>
            </w:pPr>
            <w:r>
              <w:rPr/>
              <w:t>266,239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8" w:type="dxa"/>
            <w:tcBorders/>
            <w:shd w:fill="CCEEFF" w:val="clear"/>
            <w:vAlign w:val="center"/>
          </w:tcPr>
          <w:p>
            <w:pPr>
              <w:pStyle w:val="TableContents"/>
              <w:bidi w:val="0"/>
              <w:spacing w:before="0" w:after="283"/>
              <w:jc w:val="right"/>
              <w:rPr/>
            </w:pPr>
            <w:r>
              <w:rPr/>
              <w:t>266,239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0"/>
              <w:jc w:val="right"/>
              <w:rPr/>
            </w:pPr>
            <w:r>
              <w:rPr/>
              <w:t>          </w:t>
            </w:r>
            <w:r>
              <w:rPr/>
              <w:t>-</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2209" w:type="dxa"/>
            <w:tcBorders/>
            <w:vAlign w:val="center"/>
          </w:tcPr>
          <w:p>
            <w:pPr>
              <w:pStyle w:val="TableContents"/>
              <w:bidi w:val="0"/>
              <w:spacing w:before="0" w:after="283"/>
              <w:jc w:val="left"/>
              <w:rPr/>
            </w:pPr>
            <w:r>
              <w:rPr/>
              <w:t>U.S. government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16,644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356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17,000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17,000</w:t>
            </w:r>
          </w:p>
        </w:tc>
        <w:tc>
          <w:tcPr>
            <w:tcW w:w="137" w:type="dxa"/>
            <w:tcBorders/>
            <w:vAlign w:val="center"/>
          </w:tcPr>
          <w:p>
            <w:pPr>
              <w:pStyle w:val="TableContents"/>
              <w:bidi w:val="0"/>
              <w:spacing w:before="0" w:after="283"/>
              <w:ind w:left="0" w:right="0" w:hanging="180"/>
              <w:jc w:val="left"/>
              <w:rPr/>
            </w:pPr>
            <w:r>
              <w:rPr/>
              <w:t> </w:t>
            </w:r>
          </w:p>
        </w:tc>
      </w:tr>
      <w:tr>
        <w:trPr/>
        <w:tc>
          <w:tcPr>
            <w:tcW w:w="2209" w:type="dxa"/>
            <w:tcBorders/>
            <w:shd w:fill="CCEEFF" w:val="clear"/>
            <w:vAlign w:val="center"/>
          </w:tcPr>
          <w:p>
            <w:pPr>
              <w:pStyle w:val="TableContents"/>
              <w:bidi w:val="0"/>
              <w:spacing w:before="0" w:after="283"/>
              <w:jc w:val="left"/>
              <w:rPr/>
            </w:pPr>
            <w:r>
              <w:rPr/>
              <w:t>Certificates of deposit and time deposits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39,683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39,683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39,683</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2209" w:type="dxa"/>
            <w:tcBorders/>
            <w:vAlign w:val="center"/>
          </w:tcPr>
          <w:p>
            <w:pPr>
              <w:pStyle w:val="TableContents"/>
              <w:bidi w:val="0"/>
              <w:spacing w:before="0" w:after="283"/>
              <w:jc w:val="left"/>
              <w:rPr/>
            </w:pPr>
            <w:r>
              <w:rPr/>
              <w:t>Money market funds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5,572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2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tcMar>
              <w:bottom w:w="28" w:type="dxa"/>
            </w:tcMar>
            <w:vAlign w:val="center"/>
          </w:tcPr>
          <w:p>
            <w:pPr>
              <w:pStyle w:val="TableContents"/>
              <w:bidi w:val="0"/>
              <w:spacing w:before="0" w:after="283"/>
              <w:jc w:val="right"/>
              <w:rPr/>
            </w:pPr>
            <w:r>
              <w:rPr/>
              <w:t>5,572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8" w:type="dxa"/>
            <w:tcBorders>
              <w:bottom w:val="single" w:sz="12" w:space="0" w:color="000000"/>
            </w:tcBorders>
            <w:tcMar>
              <w:bottom w:w="28" w:type="dxa"/>
            </w:tcMar>
            <w:vAlign w:val="center"/>
          </w:tcPr>
          <w:p>
            <w:pPr>
              <w:pStyle w:val="TableContents"/>
              <w:bidi w:val="0"/>
              <w:spacing w:before="0" w:after="283"/>
              <w:jc w:val="right"/>
              <w:rPr/>
            </w:pPr>
            <w:r>
              <w:rPr/>
              <w:t>5,572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tcMar>
              <w:bottom w:w="28" w:type="dxa"/>
            </w:tcMar>
            <w:vAlign w:val="center"/>
          </w:tcPr>
          <w:p>
            <w:pPr>
              <w:pStyle w:val="TableContents"/>
              <w:bidi w:val="0"/>
              <w:spacing w:before="0" w:after="0"/>
              <w:jc w:val="right"/>
              <w:rPr/>
            </w:pPr>
            <w:r>
              <w:rPr/>
              <w:t>-</w:t>
            </w:r>
          </w:p>
        </w:tc>
        <w:tc>
          <w:tcPr>
            <w:tcW w:w="137" w:type="dxa"/>
            <w:tcBorders/>
            <w:vAlign w:val="center"/>
          </w:tcPr>
          <w:p>
            <w:pPr>
              <w:pStyle w:val="TableContents"/>
              <w:bidi w:val="0"/>
              <w:spacing w:before="0" w:after="283"/>
              <w:ind w:left="0" w:right="0" w:hanging="180"/>
              <w:jc w:val="left"/>
              <w:rPr/>
            </w:pPr>
            <w:r>
              <w:rPr/>
              <w:t> </w:t>
            </w:r>
          </w:p>
        </w:tc>
      </w:tr>
      <w:tr>
        <w:trPr/>
        <w:tc>
          <w:tcPr>
            <w:tcW w:w="2209" w:type="dxa"/>
            <w:tcBorders/>
            <w:shd w:fill="CCEEFF" w:val="clear"/>
            <w:vAlign w:val="center"/>
          </w:tcPr>
          <w:p>
            <w:pPr>
              <w:pStyle w:val="TableContents"/>
              <w:bidi w:val="0"/>
              <w:spacing w:before="0" w:after="283"/>
              <w:jc w:val="left"/>
              <w:rPr/>
            </w:pPr>
            <w:r>
              <w:rPr/>
              <w:t>Total cash, cash equivalents and short-term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328,138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10" w:space="0" w:color="000000"/>
            </w:tcBorders>
            <w:shd w:fill="CCEEFF" w:val="clear"/>
            <w:tcMar>
              <w:bottom w:w="28" w:type="dxa"/>
            </w:tcMar>
            <w:vAlign w:val="center"/>
          </w:tcPr>
          <w:p>
            <w:pPr>
              <w:pStyle w:val="TableContents"/>
              <w:bidi w:val="0"/>
              <w:spacing w:before="0" w:after="283"/>
              <w:jc w:val="right"/>
              <w:rPr/>
            </w:pPr>
            <w:r>
              <w:rPr/>
              <w:t>356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0"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9" w:type="dxa"/>
            <w:tcBorders>
              <w:bottom w:val="double" w:sz="10" w:space="0" w:color="000000"/>
            </w:tcBorders>
            <w:shd w:fill="CCEEFF" w:val="clear"/>
            <w:tcMar>
              <w:bottom w:w="28" w:type="dxa"/>
            </w:tcMar>
            <w:vAlign w:val="center"/>
          </w:tcPr>
          <w:p>
            <w:pPr>
              <w:pStyle w:val="TableContents"/>
              <w:bidi w:val="0"/>
              <w:spacing w:before="0" w:after="283"/>
              <w:jc w:val="right"/>
              <w:rPr/>
            </w:pPr>
            <w:r>
              <w:rPr/>
              <w:t>328,494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8" w:type="dxa"/>
            <w:tcBorders>
              <w:bottom w:val="double" w:sz="10" w:space="0" w:color="000000"/>
            </w:tcBorders>
            <w:shd w:fill="CCEEFF" w:val="clear"/>
            <w:tcMar>
              <w:bottom w:w="28" w:type="dxa"/>
            </w:tcMar>
            <w:vAlign w:val="center"/>
          </w:tcPr>
          <w:p>
            <w:pPr>
              <w:pStyle w:val="TableContents"/>
              <w:bidi w:val="0"/>
              <w:spacing w:before="0" w:after="283"/>
              <w:jc w:val="right"/>
              <w:rPr/>
            </w:pPr>
            <w:r>
              <w:rPr/>
              <w:t>271,811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pPr>
            <w:r>
              <w:rPr/>
              <w:t>56,683</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2025 AND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3: Fair Value of Financial Instruments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9"/>
        <w:gridCol w:w="90"/>
        <w:gridCol w:w="170"/>
        <w:gridCol w:w="830"/>
        <w:gridCol w:w="90"/>
        <w:gridCol w:w="90"/>
        <w:gridCol w:w="340"/>
        <w:gridCol w:w="820"/>
        <w:gridCol w:w="90"/>
        <w:gridCol w:w="90"/>
        <w:gridCol w:w="220"/>
        <w:gridCol w:w="940"/>
        <w:gridCol w:w="90"/>
        <w:gridCol w:w="90"/>
        <w:gridCol w:w="175"/>
        <w:gridCol w:w="859"/>
        <w:gridCol w:w="90"/>
        <w:gridCol w:w="90"/>
        <w:gridCol w:w="212"/>
        <w:gridCol w:w="1038"/>
        <w:gridCol w:w="90"/>
        <w:gridCol w:w="90"/>
        <w:gridCol w:w="240"/>
        <w:gridCol w:w="1025"/>
        <w:gridCol w:w="137"/>
      </w:tblGrid>
      <w:tr>
        <w:trPr/>
        <w:tc>
          <w:tcPr>
            <w:tcW w:w="22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69"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137" w:type="dxa"/>
            <w:tcBorders/>
            <w:vAlign w:val="center"/>
          </w:tcPr>
          <w:p>
            <w:pPr>
              <w:pStyle w:val="TableContents"/>
              <w:bidi w:val="0"/>
              <w:spacing w:before="0" w:after="283"/>
              <w:jc w:val="left"/>
              <w:rPr/>
            </w:pPr>
            <w:r>
              <w:rPr/>
              <w:t> </w:t>
            </w:r>
          </w:p>
        </w:tc>
      </w:tr>
      <w:tr>
        <w:trPr/>
        <w:tc>
          <w:tcPr>
            <w:tcW w:w="22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Adjusted</w:t>
              <w:br/>
              <w:t>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br/>
              <w:t>Unrealized</w:t>
              <w:br/>
              <w:t>Gains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br/>
              <w:t>Unrealized</w:t>
              <w:br/>
              <w:t>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Cash and </w:t>
              <w:br/>
              <w:t>Cash</w:t>
              <w:br/>
              <w:t>Equivalents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Short-Term</w:t>
              <w:br/>
              <w:t>Investments</w:t>
            </w:r>
          </w:p>
        </w:tc>
        <w:tc>
          <w:tcPr>
            <w:tcW w:w="137" w:type="dxa"/>
            <w:tcBorders/>
            <w:vAlign w:val="center"/>
          </w:tcPr>
          <w:p>
            <w:pPr>
              <w:pStyle w:val="TableContents"/>
              <w:bidi w:val="0"/>
              <w:spacing w:before="0" w:after="283"/>
              <w:ind w:left="0" w:right="0" w:hanging="180"/>
              <w:jc w:val="left"/>
              <w:rPr/>
            </w:pPr>
            <w:r>
              <w:rPr/>
              <w:t> </w:t>
            </w:r>
          </w:p>
        </w:tc>
      </w:tr>
      <w:tr>
        <w:trPr/>
        <w:tc>
          <w:tcPr>
            <w:tcW w:w="2209"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188,111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859" w:type="dxa"/>
            <w:tcBorders/>
            <w:shd w:fill="CCEEFF" w:val="clear"/>
            <w:vAlign w:val="center"/>
          </w:tcPr>
          <w:p>
            <w:pPr>
              <w:pStyle w:val="TableContents"/>
              <w:bidi w:val="0"/>
              <w:spacing w:before="0" w:after="283"/>
              <w:jc w:val="right"/>
              <w:rPr/>
            </w:pPr>
            <w:r>
              <w:rPr/>
              <w:t>188,111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8" w:type="dxa"/>
            <w:tcBorders/>
            <w:shd w:fill="CCEEFF" w:val="clear"/>
            <w:vAlign w:val="center"/>
          </w:tcPr>
          <w:p>
            <w:pPr>
              <w:pStyle w:val="TableContents"/>
              <w:bidi w:val="0"/>
              <w:spacing w:before="0" w:after="283"/>
              <w:jc w:val="right"/>
              <w:rPr/>
            </w:pPr>
            <w:r>
              <w:rPr/>
              <w:t>188,111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0"/>
              <w:jc w:val="right"/>
              <w:rPr/>
            </w:pPr>
            <w:r>
              <w:rPr/>
              <w:t>          </w:t>
            </w:r>
            <w:r>
              <w:rPr/>
              <w:t>-</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2209" w:type="dxa"/>
            <w:tcBorders/>
            <w:vAlign w:val="center"/>
          </w:tcPr>
          <w:p>
            <w:pPr>
              <w:pStyle w:val="TableContents"/>
              <w:bidi w:val="0"/>
              <w:spacing w:before="0" w:after="283"/>
              <w:jc w:val="left"/>
              <w:rPr/>
            </w:pPr>
            <w:r>
              <w:rPr/>
              <w:t>U.S. government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16,607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393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17,000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17,000</w:t>
            </w:r>
          </w:p>
        </w:tc>
        <w:tc>
          <w:tcPr>
            <w:tcW w:w="137" w:type="dxa"/>
            <w:tcBorders/>
            <w:vAlign w:val="center"/>
          </w:tcPr>
          <w:p>
            <w:pPr>
              <w:pStyle w:val="TableContents"/>
              <w:bidi w:val="0"/>
              <w:spacing w:before="0" w:after="283"/>
              <w:ind w:left="0" w:right="0" w:hanging="180"/>
              <w:jc w:val="left"/>
              <w:rPr/>
            </w:pPr>
            <w:r>
              <w:rPr/>
              <w:t> </w:t>
            </w:r>
          </w:p>
        </w:tc>
      </w:tr>
      <w:tr>
        <w:trPr/>
        <w:tc>
          <w:tcPr>
            <w:tcW w:w="2209" w:type="dxa"/>
            <w:tcBorders/>
            <w:shd w:fill="CCEEFF" w:val="clear"/>
            <w:vAlign w:val="center"/>
          </w:tcPr>
          <w:p>
            <w:pPr>
              <w:pStyle w:val="TableContents"/>
              <w:bidi w:val="0"/>
              <w:spacing w:before="0" w:after="283"/>
              <w:jc w:val="left"/>
              <w:rPr/>
            </w:pPr>
            <w:r>
              <w:rPr/>
              <w:t>Certificates of deposit and time deposits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41,308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41,308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41,308</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2209" w:type="dxa"/>
            <w:tcBorders/>
            <w:vAlign w:val="center"/>
          </w:tcPr>
          <w:p>
            <w:pPr>
              <w:pStyle w:val="TableContents"/>
              <w:bidi w:val="0"/>
              <w:spacing w:before="0" w:after="283"/>
              <w:jc w:val="left"/>
              <w:rPr/>
            </w:pPr>
            <w:r>
              <w:rPr/>
              <w:t>Money market funds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5,518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2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tcMar>
              <w:bottom w:w="28" w:type="dxa"/>
            </w:tcMar>
            <w:vAlign w:val="center"/>
          </w:tcPr>
          <w:p>
            <w:pPr>
              <w:pStyle w:val="TableContents"/>
              <w:bidi w:val="0"/>
              <w:spacing w:before="0" w:after="283"/>
              <w:jc w:val="right"/>
              <w:rPr/>
            </w:pPr>
            <w:r>
              <w:rPr/>
              <w:t>5,518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8" w:type="dxa"/>
            <w:tcBorders>
              <w:bottom w:val="single" w:sz="12" w:space="0" w:color="000000"/>
            </w:tcBorders>
            <w:tcMar>
              <w:bottom w:w="28" w:type="dxa"/>
            </w:tcMar>
            <w:vAlign w:val="center"/>
          </w:tcPr>
          <w:p>
            <w:pPr>
              <w:pStyle w:val="TableContents"/>
              <w:bidi w:val="0"/>
              <w:spacing w:before="0" w:after="283"/>
              <w:jc w:val="right"/>
              <w:rPr/>
            </w:pPr>
            <w:r>
              <w:rPr/>
              <w:t>5,518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tcMar>
              <w:bottom w:w="28" w:type="dxa"/>
            </w:tcMar>
            <w:vAlign w:val="center"/>
          </w:tcPr>
          <w:p>
            <w:pPr>
              <w:pStyle w:val="TableContents"/>
              <w:bidi w:val="0"/>
              <w:spacing w:before="0" w:after="0"/>
              <w:jc w:val="right"/>
              <w:rPr/>
            </w:pPr>
            <w:r>
              <w:rPr/>
              <w:t>-</w:t>
            </w:r>
          </w:p>
        </w:tc>
        <w:tc>
          <w:tcPr>
            <w:tcW w:w="137" w:type="dxa"/>
            <w:tcBorders/>
            <w:vAlign w:val="center"/>
          </w:tcPr>
          <w:p>
            <w:pPr>
              <w:pStyle w:val="TableContents"/>
              <w:bidi w:val="0"/>
              <w:spacing w:before="0" w:after="283"/>
              <w:ind w:left="0" w:right="0" w:hanging="180"/>
              <w:jc w:val="left"/>
              <w:rPr/>
            </w:pPr>
            <w:r>
              <w:rPr/>
              <w:t> </w:t>
            </w:r>
          </w:p>
        </w:tc>
      </w:tr>
      <w:tr>
        <w:trPr/>
        <w:tc>
          <w:tcPr>
            <w:tcW w:w="2209" w:type="dxa"/>
            <w:tcBorders/>
            <w:shd w:fill="CCEEFF" w:val="clear"/>
            <w:vAlign w:val="center"/>
          </w:tcPr>
          <w:p>
            <w:pPr>
              <w:pStyle w:val="TableContents"/>
              <w:bidi w:val="0"/>
              <w:spacing w:before="0" w:after="283"/>
              <w:jc w:val="left"/>
              <w:rPr/>
            </w:pPr>
            <w:r>
              <w:rPr/>
              <w:t>Total cash, cash equivalents and short-term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251,544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10" w:space="0" w:color="000000"/>
            </w:tcBorders>
            <w:shd w:fill="CCEEFF" w:val="clear"/>
            <w:tcMar>
              <w:bottom w:w="28" w:type="dxa"/>
            </w:tcMar>
            <w:vAlign w:val="center"/>
          </w:tcPr>
          <w:p>
            <w:pPr>
              <w:pStyle w:val="TableContents"/>
              <w:bidi w:val="0"/>
              <w:spacing w:before="0" w:after="283"/>
              <w:jc w:val="right"/>
              <w:rPr/>
            </w:pPr>
            <w:r>
              <w:rPr/>
              <w:t>393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0"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9" w:type="dxa"/>
            <w:tcBorders>
              <w:bottom w:val="double" w:sz="10" w:space="0" w:color="000000"/>
            </w:tcBorders>
            <w:shd w:fill="CCEEFF" w:val="clear"/>
            <w:tcMar>
              <w:bottom w:w="28" w:type="dxa"/>
            </w:tcMar>
            <w:vAlign w:val="center"/>
          </w:tcPr>
          <w:p>
            <w:pPr>
              <w:pStyle w:val="TableContents"/>
              <w:bidi w:val="0"/>
              <w:spacing w:before="0" w:after="283"/>
              <w:jc w:val="right"/>
              <w:rPr/>
            </w:pPr>
            <w:r>
              <w:rPr/>
              <w:t>251,937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8" w:type="dxa"/>
            <w:tcBorders>
              <w:bottom w:val="double" w:sz="10" w:space="0" w:color="000000"/>
            </w:tcBorders>
            <w:shd w:fill="CCEEFF" w:val="clear"/>
            <w:tcMar>
              <w:bottom w:w="28" w:type="dxa"/>
            </w:tcMar>
            <w:vAlign w:val="center"/>
          </w:tcPr>
          <w:p>
            <w:pPr>
              <w:pStyle w:val="TableContents"/>
              <w:bidi w:val="0"/>
              <w:spacing w:before="0" w:after="283"/>
              <w:jc w:val="right"/>
              <w:rPr/>
            </w:pPr>
            <w:r>
              <w:rPr/>
              <w:t>193,629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pPr>
            <w:r>
              <w:rPr/>
              <w:t>58,308</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all of our short-term investments had contractual maturity dates within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instruments that are not re-measured at fair value include accounts receivable, notes receivable, other receivables, accounts payable, accrued expenses, short-term loan and long-term payables. The carrying values of these financial instruments materially approximate their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as of December 31, 2025 and September 30, 2025 are as follows:</w:t>
      </w:r>
    </w:p>
    <w:p>
      <w:pPr>
        <w:pStyle w:val="TextBody"/>
        <w:bidi w:val="0"/>
        <w:spacing w:before="0" w:after="0"/>
        <w:ind w:left="0" w:right="0" w:firstLine="324"/>
        <w:jc w:val="both"/>
        <w:rPr>
          <w:caps w:val="false"/>
          <w:smallCaps w:val="false"/>
        </w:rPr>
      </w:pPr>
      <w:r>
        <w:rPr>
          <w:caps w:val="false"/>
          <w:smallCaps w:val="false"/>
        </w:rPr>
        <w:t> </w:t>
      </w:r>
    </w:p>
    <w:tbl>
      <w:tblPr>
        <w:tblW w:w="6654" w:type="dxa"/>
        <w:jc w:val="left"/>
        <w:tblInd w:w="0" w:type="dxa"/>
        <w:tblLayout w:type="fixed"/>
        <w:tblCellMar>
          <w:top w:w="0" w:type="dxa"/>
          <w:left w:w="0" w:type="dxa"/>
          <w:bottom w:w="0" w:type="dxa"/>
          <w:right w:w="0" w:type="dxa"/>
        </w:tblCellMar>
      </w:tblPr>
      <w:tblGrid>
        <w:gridCol w:w="3170"/>
        <w:gridCol w:w="90"/>
        <w:gridCol w:w="245"/>
        <w:gridCol w:w="1200"/>
        <w:gridCol w:w="125"/>
        <w:gridCol w:w="90"/>
        <w:gridCol w:w="265"/>
        <w:gridCol w:w="1299"/>
        <w:gridCol w:w="170"/>
      </w:tblGrid>
      <w:tr>
        <w:trPr/>
        <w:tc>
          <w:tcPr>
            <w:tcW w:w="3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w:t>
              <w:br/>
              <w:t>2025</w:t>
            </w:r>
          </w:p>
        </w:tc>
        <w:tc>
          <w:tcPr>
            <w:tcW w:w="17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Accounts receivable, gross</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200" w:type="dxa"/>
            <w:tcBorders/>
            <w:shd w:fill="CCEEFF" w:val="clear"/>
            <w:vAlign w:val="center"/>
          </w:tcPr>
          <w:p>
            <w:pPr>
              <w:pStyle w:val="TableContents"/>
              <w:bidi w:val="0"/>
              <w:spacing w:before="0" w:after="283"/>
              <w:jc w:val="right"/>
              <w:rPr/>
            </w:pPr>
            <w:r>
              <w:rPr/>
              <w:t>    </w:t>
            </w:r>
            <w:r>
              <w:rPr/>
              <w:t>1,989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1299" w:type="dxa"/>
            <w:tcBorders/>
            <w:shd w:fill="CCEEFF" w:val="clear"/>
            <w:vAlign w:val="center"/>
          </w:tcPr>
          <w:p>
            <w:pPr>
              <w:pStyle w:val="TableContents"/>
              <w:bidi w:val="0"/>
              <w:spacing w:before="0" w:after="283"/>
              <w:jc w:val="right"/>
              <w:rPr/>
            </w:pPr>
            <w:r>
              <w:rPr/>
              <w:t>    </w:t>
            </w:r>
            <w:r>
              <w:rPr/>
              <w:t>1,919</w:t>
            </w:r>
          </w:p>
        </w:tc>
        <w:tc>
          <w:tcPr>
            <w:tcW w:w="170"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Allowance for doubtful accounts</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tcMar>
              <w:bottom w:w="28" w:type="dxa"/>
            </w:tcMar>
            <w:vAlign w:val="center"/>
          </w:tcPr>
          <w:p>
            <w:pPr>
              <w:pStyle w:val="TableContents"/>
              <w:bidi w:val="0"/>
              <w:spacing w:before="0" w:after="283"/>
              <w:jc w:val="right"/>
              <w:rPr/>
            </w:pPr>
            <w:r>
              <w:rPr/>
              <w:t>(99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6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9" w:type="dxa"/>
            <w:tcBorders>
              <w:bottom w:val="single" w:sz="12" w:space="0" w:color="000000"/>
            </w:tcBorders>
            <w:tcMar>
              <w:bottom w:w="28" w:type="dxa"/>
            </w:tcMar>
            <w:vAlign w:val="center"/>
          </w:tcPr>
          <w:p>
            <w:pPr>
              <w:pStyle w:val="TableContents"/>
              <w:bidi w:val="0"/>
              <w:spacing w:before="0" w:after="283"/>
              <w:jc w:val="right"/>
              <w:rPr/>
            </w:pPr>
            <w:r>
              <w:rPr/>
              <w:t>(139</w:t>
            </w:r>
          </w:p>
        </w:tc>
        <w:tc>
          <w:tcPr>
            <w:tcW w:w="170" w:type="dxa"/>
            <w:tcBorders/>
            <w:vAlign w:val="center"/>
          </w:tcPr>
          <w:p>
            <w:pPr>
              <w:pStyle w:val="TableContents"/>
              <w:bidi w:val="0"/>
              <w:spacing w:before="0" w:after="283"/>
              <w:jc w:val="left"/>
              <w:rPr/>
            </w:pPr>
            <w:r>
              <w:rPr/>
              <w:t>)</w:t>
            </w:r>
          </w:p>
        </w:tc>
      </w:tr>
      <w:tr>
        <w:trPr/>
        <w:tc>
          <w:tcPr>
            <w:tcW w:w="3170"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0" w:type="dxa"/>
            <w:tcBorders>
              <w:bottom w:val="single" w:sz="12" w:space="0" w:color="000000"/>
            </w:tcBorders>
            <w:shd w:fill="CCEEFF" w:val="clear"/>
            <w:tcMar>
              <w:bottom w:w="28" w:type="dxa"/>
            </w:tcMar>
            <w:vAlign w:val="center"/>
          </w:tcPr>
          <w:p>
            <w:pPr>
              <w:pStyle w:val="TableContents"/>
              <w:bidi w:val="0"/>
              <w:spacing w:before="0" w:after="283"/>
              <w:jc w:val="right"/>
              <w:rPr/>
            </w:pPr>
            <w:r>
              <w:rPr/>
              <w:t>1,890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99" w:type="dxa"/>
            <w:tcBorders>
              <w:bottom w:val="single" w:sz="12" w:space="0" w:color="000000"/>
            </w:tcBorders>
            <w:shd w:fill="CCEEFF" w:val="clear"/>
            <w:tcMar>
              <w:bottom w:w="28" w:type="dxa"/>
            </w:tcMar>
            <w:vAlign w:val="center"/>
          </w:tcPr>
          <w:p>
            <w:pPr>
              <w:pStyle w:val="TableContents"/>
              <w:bidi w:val="0"/>
              <w:spacing w:before="0" w:after="283"/>
              <w:jc w:val="right"/>
              <w:rPr/>
            </w:pPr>
            <w:r>
              <w:rPr/>
              <w:t>1,780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allowance for doubtful accounts was $99, compared to $103 as of December 31, 2024. We believe that our rigorous credit risk management practices and the allowance for credit losses adequately address the potential for uncollectible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as of December 31, 2025 and September 30, 2025 are as follows:</w:t>
      </w:r>
    </w:p>
    <w:p>
      <w:pPr>
        <w:pStyle w:val="TextBody"/>
        <w:bidi w:val="0"/>
        <w:spacing w:before="0" w:after="0"/>
        <w:ind w:left="0" w:right="0" w:firstLine="324"/>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655"/>
        <w:gridCol w:w="90"/>
        <w:gridCol w:w="170"/>
        <w:gridCol w:w="1430"/>
        <w:gridCol w:w="90"/>
        <w:gridCol w:w="90"/>
        <w:gridCol w:w="170"/>
        <w:gridCol w:w="1490"/>
        <w:gridCol w:w="135"/>
      </w:tblGrid>
      <w:tr>
        <w:trPr/>
        <w:tc>
          <w:tcPr>
            <w:tcW w:w="1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w:t>
              <w:br/>
              <w:t>2025</w:t>
            </w:r>
          </w:p>
        </w:tc>
        <w:tc>
          <w:tcPr>
            <w:tcW w:w="13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Raw materials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              </w:t>
            </w:r>
            <w:r>
              <w:rPr/>
              <w:t>1,109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90" w:type="dxa"/>
            <w:tcBorders/>
            <w:shd w:fill="CCEEFF" w:val="clear"/>
            <w:vAlign w:val="center"/>
          </w:tcPr>
          <w:p>
            <w:pPr>
              <w:pStyle w:val="TableContents"/>
              <w:bidi w:val="0"/>
              <w:spacing w:before="0" w:after="283"/>
              <w:jc w:val="right"/>
              <w:rPr/>
            </w:pPr>
            <w:r>
              <w:rPr/>
              <w:t>                  </w:t>
            </w:r>
            <w:r>
              <w:rPr/>
              <w:t>811</w:t>
            </w:r>
          </w:p>
        </w:tc>
        <w:tc>
          <w:tcPr>
            <w:tcW w:w="135"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Finished goods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769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tcMar>
              <w:bottom w:w="28" w:type="dxa"/>
            </w:tcMar>
            <w:vAlign w:val="center"/>
          </w:tcPr>
          <w:p>
            <w:pPr>
              <w:pStyle w:val="TableContents"/>
              <w:bidi w:val="0"/>
              <w:spacing w:before="0" w:after="283"/>
              <w:jc w:val="right"/>
              <w:rPr/>
            </w:pPr>
            <w:r>
              <w:rPr/>
              <w:t>569</w:t>
            </w:r>
          </w:p>
        </w:tc>
        <w:tc>
          <w:tcPr>
            <w:tcW w:w="13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Total inventories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1,878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pPr>
            <w:r>
              <w:rPr/>
              <w:t>1,380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Finished goods inventory includes products-in-transit to fulfill customer orders and robotic products available for sale. We write-down inventory for any excess or obsolete inventory or when we believe that the net realizable value of inventory is less than the carrying value. During the three months ended December 31, 2025 and 2024, we recorded inventory write-downs of nil for both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2025 AND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is stated at cost less accumulated depreciation and amortization and is depreciated using the straight-line method over the estimated useful lives of the assets. Estimated useful lives of equipment are two to six years, and leasehold improvements are measured by the shorter of the remaining terms of the leases or the estimated useful economic lives of the improvements.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as of December 31, 2025 and September 30, 2025 are as follows:</w:t>
      </w:r>
    </w:p>
    <w:p>
      <w:pPr>
        <w:pStyle w:val="TextBody"/>
        <w:bidi w:val="0"/>
        <w:spacing w:before="0" w:after="0"/>
        <w:ind w:left="0" w:right="0" w:hanging="0"/>
        <w:jc w:val="left"/>
        <w:rPr>
          <w:caps w:val="false"/>
          <w:smallCaps w:val="false"/>
        </w:rPr>
      </w:pPr>
      <w:r>
        <w:rPr>
          <w:caps w:val="false"/>
          <w:smallCaps w:val="false"/>
        </w:rPr>
        <w:t> </w:t>
      </w:r>
    </w:p>
    <w:tbl>
      <w:tblPr>
        <w:tblW w:w="6785" w:type="dxa"/>
        <w:jc w:val="left"/>
        <w:tblInd w:w="0" w:type="dxa"/>
        <w:tblLayout w:type="fixed"/>
        <w:tblCellMar>
          <w:top w:w="0" w:type="dxa"/>
          <w:left w:w="0" w:type="dxa"/>
          <w:bottom w:w="0" w:type="dxa"/>
          <w:right w:w="0" w:type="dxa"/>
        </w:tblCellMar>
      </w:tblPr>
      <w:tblGrid>
        <w:gridCol w:w="3050"/>
        <w:gridCol w:w="90"/>
        <w:gridCol w:w="170"/>
        <w:gridCol w:w="1430"/>
        <w:gridCol w:w="125"/>
        <w:gridCol w:w="90"/>
        <w:gridCol w:w="170"/>
        <w:gridCol w:w="1490"/>
        <w:gridCol w:w="170"/>
      </w:tblGrid>
      <w:tr>
        <w:trPr/>
        <w:tc>
          <w:tcPr>
            <w:tcW w:w="30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center"/>
              <w:rPr>
                <w:b/>
              </w:rPr>
            </w:pPr>
            <w:r>
              <w:rPr>
                <w:b/>
              </w:rP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2"/>
            <w:tcBorders/>
            <w:vAlign w:val="center"/>
          </w:tcPr>
          <w:p>
            <w:pPr>
              <w:pStyle w:val="TableContents"/>
              <w:bidi w:val="0"/>
              <w:spacing w:before="0" w:after="283"/>
              <w:jc w:val="center"/>
              <w:rPr>
                <w:b/>
              </w:rPr>
            </w:pPr>
            <w:r>
              <w:rPr>
                <w:b/>
              </w:rPr>
              <w:t>September 30,</w:t>
            </w:r>
          </w:p>
        </w:tc>
        <w:tc>
          <w:tcPr>
            <w:tcW w:w="17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Furniture, fixtures &amp;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              </w:t>
            </w:r>
            <w:r>
              <w:rPr/>
              <w:t>1,455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90" w:type="dxa"/>
            <w:tcBorders/>
            <w:shd w:fill="CCEEFF" w:val="clear"/>
            <w:vAlign w:val="center"/>
          </w:tcPr>
          <w:p>
            <w:pPr>
              <w:pStyle w:val="TableContents"/>
              <w:bidi w:val="0"/>
              <w:spacing w:before="0" w:after="283"/>
              <w:jc w:val="right"/>
              <w:rPr/>
            </w:pPr>
            <w:r>
              <w:rPr/>
              <w:t>               </w:t>
            </w:r>
            <w:r>
              <w:rPr/>
              <w:t>1,435</w:t>
            </w:r>
          </w:p>
        </w:tc>
        <w:tc>
          <w:tcPr>
            <w:tcW w:w="17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Equipment held for lease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332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pPr>
            <w:r>
              <w:rPr/>
              <w:t>281</w:t>
            </w:r>
          </w:p>
        </w:tc>
        <w:tc>
          <w:tcPr>
            <w:tcW w:w="17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Leasehold improvements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4</w:t>
            </w:r>
          </w:p>
        </w:tc>
        <w:tc>
          <w:tcPr>
            <w:tcW w:w="17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Building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3,842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pPr>
            <w:r>
              <w:rPr/>
              <w:t>3,842</w:t>
            </w:r>
          </w:p>
        </w:tc>
        <w:tc>
          <w:tcPr>
            <w:tcW w:w="17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Land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240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pPr>
            <w:r>
              <w:rPr/>
              <w:t>240</w:t>
            </w:r>
          </w:p>
        </w:tc>
        <w:tc>
          <w:tcPr>
            <w:tcW w:w="17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5,873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pPr>
            <w:r>
              <w:rPr/>
              <w:t>5,802</w:t>
            </w:r>
          </w:p>
        </w:tc>
        <w:tc>
          <w:tcPr>
            <w:tcW w:w="17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Accumulated depreciation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(332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pPr>
            <w:r>
              <w:rPr/>
              <w:t>(223</w:t>
            </w:r>
          </w:p>
        </w:tc>
        <w:tc>
          <w:tcPr>
            <w:tcW w:w="170" w:type="dxa"/>
            <w:tcBorders/>
            <w:shd w:fill="CCEEFF" w:val="clear"/>
            <w:vAlign w:val="center"/>
          </w:tcPr>
          <w:p>
            <w:pPr>
              <w:pStyle w:val="TableContents"/>
              <w:bidi w:val="0"/>
              <w:spacing w:before="0" w:after="283"/>
              <w:jc w:val="left"/>
              <w:rPr/>
            </w:pPr>
            <w:r>
              <w:rPr/>
              <w:t>)</w:t>
            </w:r>
          </w:p>
        </w:tc>
      </w:tr>
      <w:tr>
        <w:trPr/>
        <w:tc>
          <w:tcPr>
            <w:tcW w:w="3050" w:type="dxa"/>
            <w:tcBorders/>
            <w:vAlign w:val="center"/>
          </w:tcPr>
          <w:p>
            <w:pPr>
              <w:pStyle w:val="TableContents"/>
              <w:bidi w:val="0"/>
              <w:spacing w:before="0" w:after="283"/>
              <w:jc w:val="left"/>
              <w:rPr/>
            </w:pPr>
            <w:r>
              <w:rPr/>
              <w:t>Property and equipment, net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5,541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490" w:type="dxa"/>
            <w:tcBorders>
              <w:bottom w:val="single" w:sz="12" w:space="0" w:color="000000"/>
            </w:tcBorders>
            <w:tcMar>
              <w:bottom w:w="28" w:type="dxa"/>
            </w:tcMar>
            <w:vAlign w:val="center"/>
          </w:tcPr>
          <w:p>
            <w:pPr>
              <w:pStyle w:val="TableContents"/>
              <w:bidi w:val="0"/>
              <w:spacing w:before="0" w:after="283"/>
              <w:jc w:val="right"/>
              <w:rPr/>
            </w:pPr>
            <w:r>
              <w:rPr/>
              <w:t>5,579</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three months ended December 31, 2025 and 2024 were $109 and $9,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Intangible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 as of December 31, 2025 and September 30, 2025 are as follows: </w:t>
      </w:r>
    </w:p>
    <w:p>
      <w:pPr>
        <w:pStyle w:val="TextBody"/>
        <w:bidi w:val="0"/>
        <w:spacing w:before="0" w:after="0"/>
        <w:ind w:left="0" w:right="0" w:hanging="0"/>
        <w:jc w:val="left"/>
        <w:rPr>
          <w:caps w:val="false"/>
          <w:smallCaps w:val="false"/>
        </w:rPr>
      </w:pPr>
      <w:r>
        <w:rPr>
          <w:caps w:val="false"/>
          <w:smallCaps w:val="false"/>
        </w:rPr>
        <w:t> </w:t>
      </w:r>
    </w:p>
    <w:tbl>
      <w:tblPr>
        <w:tblW w:w="6365" w:type="dxa"/>
        <w:jc w:val="left"/>
        <w:tblInd w:w="0" w:type="dxa"/>
        <w:tblLayout w:type="fixed"/>
        <w:tblCellMar>
          <w:top w:w="0" w:type="dxa"/>
          <w:left w:w="0" w:type="dxa"/>
          <w:bottom w:w="0" w:type="dxa"/>
          <w:right w:w="0" w:type="dxa"/>
        </w:tblCellMar>
      </w:tblPr>
      <w:tblGrid>
        <w:gridCol w:w="2630"/>
        <w:gridCol w:w="90"/>
        <w:gridCol w:w="170"/>
        <w:gridCol w:w="1430"/>
        <w:gridCol w:w="125"/>
        <w:gridCol w:w="90"/>
        <w:gridCol w:w="170"/>
        <w:gridCol w:w="1490"/>
        <w:gridCol w:w="170"/>
      </w:tblGrid>
      <w:tr>
        <w:trPr/>
        <w:tc>
          <w:tcPr>
            <w:tcW w:w="2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center"/>
              <w:rPr>
                <w:b/>
              </w:rPr>
            </w:pPr>
            <w:r>
              <w:rPr>
                <w:b/>
              </w:rP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2"/>
            <w:tcBorders/>
            <w:vAlign w:val="center"/>
          </w:tcPr>
          <w:p>
            <w:pPr>
              <w:pStyle w:val="TableContents"/>
              <w:bidi w:val="0"/>
              <w:spacing w:before="0" w:after="283"/>
              <w:jc w:val="center"/>
              <w:rPr>
                <w:b/>
              </w:rPr>
            </w:pPr>
            <w:r>
              <w:rPr>
                <w:b/>
              </w:rPr>
              <w:t>September 30,</w:t>
            </w:r>
          </w:p>
        </w:tc>
        <w:tc>
          <w:tcPr>
            <w:tcW w:w="17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Intangible Asset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            </w:t>
            </w:r>
            <w:r>
              <w:rPr/>
              <w:t>11,938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90" w:type="dxa"/>
            <w:tcBorders/>
            <w:shd w:fill="CCEEFF" w:val="clear"/>
            <w:vAlign w:val="center"/>
          </w:tcPr>
          <w:p>
            <w:pPr>
              <w:pStyle w:val="TableContents"/>
              <w:bidi w:val="0"/>
              <w:spacing w:before="0" w:after="283"/>
              <w:jc w:val="right"/>
              <w:rPr/>
            </w:pPr>
            <w:r>
              <w:rPr/>
              <w:t>             </w:t>
            </w:r>
            <w:r>
              <w:rPr/>
              <w:t>11,978</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Accumulated Amortization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(2,461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tcMar>
              <w:bottom w:w="28" w:type="dxa"/>
            </w:tcMar>
            <w:vAlign w:val="center"/>
          </w:tcPr>
          <w:p>
            <w:pPr>
              <w:pStyle w:val="TableContents"/>
              <w:bidi w:val="0"/>
              <w:spacing w:before="0" w:after="283"/>
              <w:jc w:val="right"/>
              <w:rPr/>
            </w:pPr>
            <w:r>
              <w:rPr/>
              <w:t>(2,217</w:t>
            </w:r>
          </w:p>
        </w:tc>
        <w:tc>
          <w:tcPr>
            <w:tcW w:w="170" w:type="dxa"/>
            <w:tcBorders/>
            <w:vAlign w:val="center"/>
          </w:tcPr>
          <w:p>
            <w:pPr>
              <w:pStyle w:val="TableContents"/>
              <w:bidi w:val="0"/>
              <w:spacing w:before="0" w:after="283"/>
              <w:jc w:val="left"/>
              <w:rPr/>
            </w:pPr>
            <w:r>
              <w:rPr/>
              <w:t>)</w:t>
            </w:r>
          </w:p>
        </w:tc>
      </w:tr>
      <w:tr>
        <w:trPr/>
        <w:tc>
          <w:tcPr>
            <w:tcW w:w="2630" w:type="dxa"/>
            <w:tcBorders/>
            <w:shd w:fill="CCEEFF" w:val="clear"/>
            <w:vAlign w:val="center"/>
          </w:tcPr>
          <w:p>
            <w:pPr>
              <w:pStyle w:val="TableContents"/>
              <w:bidi w:val="0"/>
              <w:spacing w:before="0" w:after="283"/>
              <w:jc w:val="left"/>
              <w:rPr/>
            </w:pPr>
            <w:r>
              <w:rPr/>
              <w:t>Intangible Asset,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9,477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90" w:type="dxa"/>
            <w:tcBorders/>
            <w:shd w:fill="CCEEFF" w:val="clear"/>
            <w:vAlign w:val="center"/>
          </w:tcPr>
          <w:p>
            <w:pPr>
              <w:pStyle w:val="TableContents"/>
              <w:bidi w:val="0"/>
              <w:spacing w:before="0" w:after="283"/>
              <w:jc w:val="right"/>
              <w:rPr/>
            </w:pPr>
            <w:r>
              <w:rPr/>
              <w:t>9,761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$244 and $499 for the three months ended December 31, 2025 and 2024,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amortization expense related to existing finite-lived intangible assets for each of the next five years is as follows: 2026 – $2,189; 2027 - $2,189; 2028 - $2,189; 2029 - $2,189; 2030 - $1,401.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December 31, 2025, we concluded that no impairment indicators were identified, and no impairment loss was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Note 8: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100,000,000 shares of class A common stock authorized as of December 31, 2025 and September 30, 2025, 39,934,846 shares of class A common stock issued and outstanding as of December 31, 2025 and September 30, 2025. We had 1,000,000,000 and 200,000,000 shares of class B common stock authorized as of December 31, 2025 and September 30, 2025, respectively, and 174,299,223 shares and 154,656,592 shares of class B common stock issued and outstanding as of December 31, 2025 and September 30, 2025, respectively. During the three months ended December 31, 2025, we issued an aggregate of 19,642,631 shares of Class B common stock and no shares of Class A common stock, including an aggregate of 15,156,685 shares of Class B common stock through our at-the-market (“ATM”) offering program and 4,485,946 shares of Class B common stock pursuant to the exercise of investor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2025 AND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Earnings/Loss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reported a net loss for all periods presented, no potentially dilutive securities have been included in the computation of diluted net loss per share. </w:t>
      </w:r>
    </w:p>
    <w:p>
      <w:pPr>
        <w:pStyle w:val="TextBody"/>
        <w:bidi w:val="0"/>
        <w:spacing w:before="0" w:after="0"/>
        <w:ind w:left="0" w:right="0" w:hanging="0"/>
        <w:jc w:val="left"/>
        <w:rPr>
          <w:caps w:val="false"/>
          <w:smallCaps w:val="false"/>
        </w:rPr>
      </w:pPr>
      <w:r>
        <w:rPr>
          <w:caps w:val="false"/>
          <w:smallCaps w:val="false"/>
        </w:rPr>
        <w:t> </w:t>
      </w:r>
    </w:p>
    <w:tbl>
      <w:tblPr>
        <w:tblW w:w="8345" w:type="dxa"/>
        <w:jc w:val="left"/>
        <w:tblInd w:w="0" w:type="dxa"/>
        <w:tblLayout w:type="fixed"/>
        <w:tblCellMar>
          <w:top w:w="0" w:type="dxa"/>
          <w:left w:w="0" w:type="dxa"/>
          <w:bottom w:w="0" w:type="dxa"/>
          <w:right w:w="0" w:type="dxa"/>
        </w:tblCellMar>
      </w:tblPr>
      <w:tblGrid>
        <w:gridCol w:w="5150"/>
        <w:gridCol w:w="90"/>
        <w:gridCol w:w="170"/>
        <w:gridCol w:w="1250"/>
        <w:gridCol w:w="125"/>
        <w:gridCol w:w="90"/>
        <w:gridCol w:w="170"/>
        <w:gridCol w:w="1130"/>
        <w:gridCol w:w="170"/>
      </w:tblGrid>
      <w:tr>
        <w:trPr/>
        <w:tc>
          <w:tcPr>
            <w:tcW w:w="51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170"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Numerators:</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150" w:type="dxa"/>
            <w:tcBorders/>
            <w:shd w:fill="CCEEFF" w:val="clear"/>
            <w:vAlign w:val="center"/>
          </w:tcPr>
          <w:p>
            <w:pPr>
              <w:pStyle w:val="TableContents"/>
              <w:bidi w:val="0"/>
              <w:spacing w:before="0" w:after="283"/>
              <w:jc w:val="left"/>
              <w:rPr/>
            </w:pPr>
            <w:r>
              <w:rPr/>
              <w:t>Net loss attributable to common stockholders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(8,402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(3,548</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150" w:type="dxa"/>
            <w:tcBorders/>
            <w:vAlign w:val="center"/>
          </w:tcPr>
          <w:p>
            <w:pPr>
              <w:pStyle w:val="TableContents"/>
              <w:bidi w:val="0"/>
              <w:spacing w:before="0" w:after="283"/>
              <w:jc w:val="left"/>
              <w:rPr/>
            </w:pPr>
            <w:r>
              <w:rPr/>
              <w:t>Denominator: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150" w:type="dxa"/>
            <w:tcBorders/>
            <w:shd w:fill="CCEEFF" w:val="clear"/>
            <w:vAlign w:val="center"/>
          </w:tcPr>
          <w:p>
            <w:pPr>
              <w:pStyle w:val="TableContents"/>
              <w:bidi w:val="0"/>
              <w:spacing w:before="0" w:after="283"/>
              <w:jc w:val="left"/>
              <w:rPr/>
            </w:pPr>
            <w:r>
              <w:rPr/>
              <w:t>Weighted Average ordinary shares used in computing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197,731,671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95,785,054</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150" w:type="dxa"/>
            <w:tcBorders/>
            <w:vAlign w:val="center"/>
          </w:tcPr>
          <w:p>
            <w:pPr>
              <w:pStyle w:val="TableContents"/>
              <w:bidi w:val="0"/>
              <w:spacing w:before="0" w:after="283"/>
              <w:jc w:val="left"/>
              <w:rPr/>
            </w:pPr>
            <w:r>
              <w:rPr/>
              <w:t>Basic and diluted net loss per share (in each dollar)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right"/>
              <w:rPr/>
            </w:pPr>
            <w:r>
              <w:rPr/>
              <w:t>(0.04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(0.04</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level of historical losses and projections for future taxable losses over the periods in which the deferred tax assets are deductible, management believes it is more likely than not that we will not realize the benefits of these deductible differences. Accordingly, we have have maintained a full valuation allowance against its net deferred tax assets as of December 31, 2025. As a result of the full valuation allowance, there was no income tax benefit or expense recognized in the consolidated statements of operations, and no net deferred tax asset or liability recorded on the consolidated balance sheets for the three months ended December 31,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2025 AND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office facilities and retail space under noncancelable operating lease agreements. Following the purchase of the new corporate headquarters in April 2025, the existing facilities at 4175 Cameron St, Las Vegas, Nevada, continue to be leased and are now utilized for dedicated Research and Development (“R&amp;D”) laboratory space and overflow administrative support. We closed our second office space in Austin, Texas, in April 2024. The total operating lease liabilities primarily relate to the Cameron Street R&amp;D facility and the Clouffee &amp; Tea retail space (Town Square Las Vegas).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leases and lease costs are as follows (in thousands):</w:t>
      </w:r>
    </w:p>
    <w:p>
      <w:pPr>
        <w:pStyle w:val="TextBody"/>
        <w:bidi w:val="0"/>
        <w:spacing w:before="0" w:after="0"/>
        <w:ind w:left="0" w:right="0" w:hanging="0"/>
        <w:jc w:val="both"/>
        <w:rPr>
          <w:caps w:val="false"/>
          <w:smallCaps w:val="false"/>
        </w:rPr>
      </w:pPr>
      <w:r>
        <w:rPr>
          <w:caps w:val="false"/>
          <w:smallCaps w:val="false"/>
        </w:rPr>
        <w:t> </w:t>
      </w:r>
    </w:p>
    <w:tbl>
      <w:tblPr>
        <w:tblW w:w="8110" w:type="dxa"/>
        <w:jc w:val="left"/>
        <w:tblInd w:w="0" w:type="dxa"/>
        <w:tblLayout w:type="fixed"/>
        <w:tblCellMar>
          <w:top w:w="0" w:type="dxa"/>
          <w:left w:w="0" w:type="dxa"/>
          <w:bottom w:w="28" w:type="dxa"/>
          <w:right w:w="0" w:type="dxa"/>
        </w:tblCellMar>
      </w:tblPr>
      <w:tblGrid>
        <w:gridCol w:w="4385"/>
        <w:gridCol w:w="90"/>
        <w:gridCol w:w="170"/>
        <w:gridCol w:w="1430"/>
        <w:gridCol w:w="90"/>
        <w:gridCol w:w="90"/>
        <w:gridCol w:w="170"/>
        <w:gridCol w:w="1550"/>
        <w:gridCol w:w="135"/>
      </w:tblGrid>
      <w:tr>
        <w:trPr/>
        <w:tc>
          <w:tcPr>
            <w:tcW w:w="4385" w:type="dxa"/>
            <w:tcBorders>
              <w:bottom w:val="single" w:sz="12" w:space="0" w:color="000000"/>
            </w:tcBorders>
            <w:vAlign w:val="center"/>
          </w:tcPr>
          <w:p>
            <w:pPr>
              <w:pStyle w:val="TableContents"/>
              <w:bidi w:val="0"/>
              <w:spacing w:before="0" w:after="283"/>
              <w:jc w:val="left"/>
              <w:rPr>
                <w:b/>
              </w:rPr>
            </w:pPr>
            <w:r>
              <w:rPr>
                <w:b/>
              </w:rPr>
              <w:t>Operating leases</w:t>
            </w:r>
          </w:p>
        </w:tc>
        <w:tc>
          <w:tcPr>
            <w:tcW w:w="90" w:type="dxa"/>
            <w:tcBorders/>
            <w:tcMar>
              <w:bottom w:w="0" w:type="dxa"/>
            </w:tcMar>
            <w:vAlign w:val="center"/>
          </w:tcPr>
          <w:p>
            <w:pPr>
              <w:pStyle w:val="TableContents"/>
              <w:bidi w:val="0"/>
              <w:spacing w:before="0" w:after="283"/>
              <w:jc w:val="left"/>
              <w:rPr/>
            </w:pPr>
            <w:r>
              <w:rPr/>
              <w:t> </w:t>
            </w:r>
          </w:p>
        </w:tc>
        <w:tc>
          <w:tcPr>
            <w:tcW w:w="1600" w:type="dxa"/>
            <w:gridSpan w:val="2"/>
            <w:tcBorders>
              <w:bottom w:val="single" w:sz="12" w:space="0" w:color="000000"/>
            </w:tcBorders>
            <w:vAlign w:val="center"/>
          </w:tcPr>
          <w:p>
            <w:pPr>
              <w:pStyle w:val="TableContents"/>
              <w:bidi w:val="0"/>
              <w:spacing w:before="0" w:after="283"/>
              <w:jc w:val="center"/>
              <w:rPr>
                <w:b/>
              </w:rPr>
            </w:pPr>
            <w:r>
              <w:rPr>
                <w:b/>
              </w:rPr>
              <w:t xml:space="preserve">As of </w:t>
              <w:br/>
              <w:t xml:space="preserve">December 31, </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20" w:type="dxa"/>
            <w:gridSpan w:val="2"/>
            <w:tcBorders>
              <w:bottom w:val="single" w:sz="12" w:space="0" w:color="000000"/>
            </w:tcBorders>
            <w:vAlign w:val="center"/>
          </w:tcPr>
          <w:p>
            <w:pPr>
              <w:pStyle w:val="TableContents"/>
              <w:bidi w:val="0"/>
              <w:spacing w:before="0" w:after="283"/>
              <w:jc w:val="center"/>
              <w:rPr>
                <w:b/>
              </w:rPr>
            </w:pPr>
            <w:r>
              <w:rPr>
                <w:b/>
              </w:rPr>
              <w:t xml:space="preserve">As of </w:t>
              <w:br/>
              <w:t xml:space="preserve">September 30, </w:t>
              <w:br/>
              <w:t>2025</w:t>
            </w:r>
          </w:p>
        </w:tc>
        <w:tc>
          <w:tcPr>
            <w:tcW w:w="135" w:type="dxa"/>
            <w:tcBorders/>
            <w:tcMar>
              <w:bottom w:w="0" w:type="dxa"/>
            </w:tcMar>
            <w:vAlign w:val="center"/>
          </w:tcPr>
          <w:p>
            <w:pPr>
              <w:pStyle w:val="TableContents"/>
              <w:bidi w:val="0"/>
              <w:spacing w:before="0" w:after="283"/>
              <w:jc w:val="left"/>
              <w:rPr/>
            </w:pPr>
            <w:r>
              <w:rPr/>
              <w:t> </w:t>
            </w:r>
          </w:p>
        </w:tc>
      </w:tr>
      <w:tr>
        <w:trPr/>
        <w:tc>
          <w:tcPr>
            <w:tcW w:w="4385" w:type="dxa"/>
            <w:tcBorders/>
            <w:shd w:fill="CCEEFF" w:val="clear"/>
            <w:tcMar>
              <w:bottom w:w="0" w:type="dxa"/>
            </w:tcMar>
            <w:vAlign w:val="center"/>
          </w:tcPr>
          <w:p>
            <w:pPr>
              <w:pStyle w:val="TableContents"/>
              <w:bidi w:val="0"/>
              <w:spacing w:before="0" w:after="283"/>
              <w:jc w:val="left"/>
              <w:rPr/>
            </w:pPr>
            <w:r>
              <w:rPr/>
              <w:t>Operating lease right-of use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c>
          <w:tcPr>
            <w:tcW w:w="1430" w:type="dxa"/>
            <w:tcBorders>
              <w:bottom w:val="single" w:sz="12" w:space="0" w:color="000000"/>
            </w:tcBorders>
            <w:shd w:fill="CCEEFF" w:val="clear"/>
            <w:vAlign w:val="center"/>
          </w:tcPr>
          <w:p>
            <w:pPr>
              <w:pStyle w:val="TableContents"/>
              <w:bidi w:val="0"/>
              <w:spacing w:before="0" w:after="283"/>
              <w:jc w:val="right"/>
              <w:rPr/>
            </w:pPr>
            <w:r>
              <w:rPr/>
              <w:t>                 </w:t>
            </w:r>
            <w:r>
              <w:rPr/>
              <w:t>607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c>
          <w:tcPr>
            <w:tcW w:w="1550" w:type="dxa"/>
            <w:tcBorders>
              <w:bottom w:val="single" w:sz="12" w:space="0" w:color="000000"/>
            </w:tcBorders>
            <w:shd w:fill="CCEEFF" w:val="clear"/>
            <w:vAlign w:val="center"/>
          </w:tcPr>
          <w:p>
            <w:pPr>
              <w:pStyle w:val="TableContents"/>
              <w:bidi w:val="0"/>
              <w:spacing w:before="0" w:after="283"/>
              <w:jc w:val="right"/>
              <w:rPr/>
            </w:pPr>
            <w:r>
              <w:rPr/>
              <w:t>                   </w:t>
            </w:r>
            <w:r>
              <w:rPr/>
              <w:t>731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385" w:type="dxa"/>
            <w:tcBorders/>
            <w:tcMar>
              <w:bottom w:w="0" w:type="dxa"/>
            </w:tcMar>
            <w:vAlign w:val="center"/>
          </w:tcPr>
          <w:p>
            <w:pPr>
              <w:pStyle w:val="TableContents"/>
              <w:bidi w:val="0"/>
              <w:spacing w:before="0" w:after="283"/>
              <w:jc w:val="left"/>
              <w:rPr/>
            </w:pPr>
            <w:r>
              <w:rPr/>
              <w:t>Operating lease liabilities, current portion</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430" w:type="dxa"/>
            <w:tcBorders/>
            <w:tcMar>
              <w:bottom w:w="0" w:type="dxa"/>
            </w:tcMar>
            <w:vAlign w:val="center"/>
          </w:tcPr>
          <w:p>
            <w:pPr>
              <w:pStyle w:val="TableContents"/>
              <w:bidi w:val="0"/>
              <w:spacing w:before="0" w:after="283"/>
              <w:jc w:val="right"/>
              <w:rPr/>
            </w:pPr>
            <w:r>
              <w:rPr/>
              <w:t>281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550" w:type="dxa"/>
            <w:tcBorders/>
            <w:tcMar>
              <w:bottom w:w="0" w:type="dxa"/>
            </w:tcMar>
            <w:vAlign w:val="center"/>
          </w:tcPr>
          <w:p>
            <w:pPr>
              <w:pStyle w:val="TableContents"/>
              <w:bidi w:val="0"/>
              <w:spacing w:before="0" w:after="283"/>
              <w:jc w:val="right"/>
              <w:rPr/>
            </w:pPr>
            <w:r>
              <w:rPr/>
              <w:t>301</w:t>
            </w:r>
          </w:p>
        </w:tc>
        <w:tc>
          <w:tcPr>
            <w:tcW w:w="135" w:type="dxa"/>
            <w:tcBorders/>
            <w:tcMar>
              <w:bottom w:w="0" w:type="dxa"/>
            </w:tcMar>
            <w:vAlign w:val="center"/>
          </w:tcPr>
          <w:p>
            <w:pPr>
              <w:pStyle w:val="TableContents"/>
              <w:bidi w:val="0"/>
              <w:spacing w:before="0" w:after="283"/>
              <w:jc w:val="left"/>
              <w:rPr/>
            </w:pPr>
            <w:r>
              <w:rPr/>
              <w:t> </w:t>
            </w:r>
          </w:p>
        </w:tc>
      </w:tr>
      <w:tr>
        <w:trPr/>
        <w:tc>
          <w:tcPr>
            <w:tcW w:w="4385" w:type="dxa"/>
            <w:tcBorders/>
            <w:shd w:fill="CCEEFF" w:val="clear"/>
            <w:tcMar>
              <w:bottom w:w="0" w:type="dxa"/>
            </w:tcMar>
            <w:vAlign w:val="center"/>
          </w:tcPr>
          <w:p>
            <w:pPr>
              <w:pStyle w:val="TableContents"/>
              <w:bidi w:val="0"/>
              <w:spacing w:before="0" w:after="283"/>
              <w:jc w:val="left"/>
              <w:rPr/>
            </w:pPr>
            <w:r>
              <w:rPr/>
              <w:t>Operating lease liabilities, non-current portion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430" w:type="dxa"/>
            <w:tcBorders>
              <w:bottom w:val="single" w:sz="12" w:space="0" w:color="000000"/>
            </w:tcBorders>
            <w:shd w:fill="CCEEFF" w:val="clear"/>
            <w:vAlign w:val="center"/>
          </w:tcPr>
          <w:p>
            <w:pPr>
              <w:pStyle w:val="TableContents"/>
              <w:bidi w:val="0"/>
              <w:spacing w:before="0" w:after="283"/>
              <w:jc w:val="right"/>
              <w:rPr/>
            </w:pPr>
            <w:r>
              <w:rPr/>
              <w:t>326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550" w:type="dxa"/>
            <w:tcBorders>
              <w:bottom w:val="single" w:sz="12" w:space="0" w:color="000000"/>
            </w:tcBorders>
            <w:shd w:fill="CCEEFF" w:val="clear"/>
            <w:vAlign w:val="center"/>
          </w:tcPr>
          <w:p>
            <w:pPr>
              <w:pStyle w:val="TableContents"/>
              <w:bidi w:val="0"/>
              <w:spacing w:before="0" w:after="283"/>
              <w:jc w:val="right"/>
              <w:rPr/>
            </w:pPr>
            <w:r>
              <w:rPr/>
              <w:t>429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385" w:type="dxa"/>
            <w:tcBorders/>
            <w:tcMar>
              <w:bottom w:w="0" w:type="dxa"/>
            </w:tcMar>
            <w:vAlign w:val="center"/>
          </w:tcPr>
          <w:p>
            <w:pPr>
              <w:pStyle w:val="TableContents"/>
              <w:bidi w:val="0"/>
              <w:spacing w:before="0" w:after="283"/>
              <w:jc w:val="left"/>
              <w:rPr/>
            </w:pPr>
            <w:r>
              <w:rPr/>
              <w:t>Total operating lease liabilities</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w:t>
            </w:r>
          </w:p>
        </w:tc>
        <w:tc>
          <w:tcPr>
            <w:tcW w:w="1430" w:type="dxa"/>
            <w:tcBorders>
              <w:bottom w:val="single" w:sz="12" w:space="0" w:color="000000"/>
            </w:tcBorders>
            <w:vAlign w:val="center"/>
          </w:tcPr>
          <w:p>
            <w:pPr>
              <w:pStyle w:val="TableContents"/>
              <w:bidi w:val="0"/>
              <w:spacing w:before="0" w:after="283"/>
              <w:jc w:val="right"/>
              <w:rPr/>
            </w:pPr>
            <w:r>
              <w:rPr/>
              <w:t>607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w:t>
            </w:r>
          </w:p>
        </w:tc>
        <w:tc>
          <w:tcPr>
            <w:tcW w:w="1550" w:type="dxa"/>
            <w:tcBorders>
              <w:bottom w:val="single" w:sz="12" w:space="0" w:color="000000"/>
            </w:tcBorders>
            <w:vAlign w:val="center"/>
          </w:tcPr>
          <w:p>
            <w:pPr>
              <w:pStyle w:val="TableContents"/>
              <w:bidi w:val="0"/>
              <w:spacing w:before="0" w:after="283"/>
              <w:jc w:val="right"/>
              <w:rPr/>
            </w:pPr>
            <w:r>
              <w:rPr/>
              <w:t>730</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lease payments under these leases as of December 31, 2025, are approximately as follows:</w:t>
      </w:r>
    </w:p>
    <w:p>
      <w:pPr>
        <w:pStyle w:val="TextBody"/>
        <w:bidi w:val="0"/>
        <w:spacing w:before="0" w:after="0"/>
        <w:ind w:left="0"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28" w:type="dxa"/>
          <w:right w:w="0" w:type="dxa"/>
        </w:tblCellMar>
      </w:tblPr>
      <w:tblGrid>
        <w:gridCol w:w="3620"/>
        <w:gridCol w:w="90"/>
        <w:gridCol w:w="260"/>
        <w:gridCol w:w="630"/>
        <w:gridCol w:w="135"/>
      </w:tblGrid>
      <w:tr>
        <w:trPr/>
        <w:tc>
          <w:tcPr>
            <w:tcW w:w="3620" w:type="dxa"/>
            <w:tcBorders>
              <w:bottom w:val="single" w:sz="12" w:space="0" w:color="000000"/>
            </w:tcBorders>
            <w:vAlign w:val="center"/>
          </w:tcPr>
          <w:p>
            <w:pPr>
              <w:pStyle w:val="TableContents"/>
              <w:bidi w:val="0"/>
              <w:spacing w:before="0" w:after="283"/>
              <w:jc w:val="left"/>
              <w:rPr>
                <w:b/>
              </w:rPr>
            </w:pPr>
            <w:r>
              <w:rPr>
                <w:b/>
              </w:rPr>
              <w:t>Fiscal Year</w:t>
            </w:r>
          </w:p>
        </w:tc>
        <w:tc>
          <w:tcPr>
            <w:tcW w:w="9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35" w:type="dxa"/>
            <w:tcBorders/>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30" w:type="dxa"/>
            <w:tcBorders/>
            <w:shd w:fill="CCEEFF" w:val="clear"/>
            <w:tcMar>
              <w:bottom w:w="0" w:type="dxa"/>
            </w:tcMar>
            <w:vAlign w:val="center"/>
          </w:tcPr>
          <w:p>
            <w:pPr>
              <w:pStyle w:val="TableContents"/>
              <w:bidi w:val="0"/>
              <w:spacing w:before="0" w:after="283"/>
              <w:jc w:val="right"/>
              <w:rPr/>
            </w:pPr>
            <w:r>
              <w:rPr/>
              <w:t>210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tcMar>
              <w:bottom w:w="0" w:type="dxa"/>
            </w:tcMar>
            <w:vAlign w:val="center"/>
          </w:tcPr>
          <w:p>
            <w:pPr>
              <w:pStyle w:val="TableContents"/>
              <w:bidi w:val="0"/>
              <w:spacing w:before="0" w:after="283"/>
              <w:jc w:val="left"/>
              <w:rPr/>
            </w:pPr>
            <w:r>
              <w:rPr/>
              <w:t>2027</w:t>
            </w:r>
          </w:p>
        </w:tc>
        <w:tc>
          <w:tcPr>
            <w:tcW w:w="90" w:type="dxa"/>
            <w:tcBorders/>
            <w:tcMar>
              <w:bottom w:w="0" w:type="dxa"/>
            </w:tcMar>
            <w:vAlign w:val="center"/>
          </w:tcPr>
          <w:p>
            <w:pPr>
              <w:pStyle w:val="TableContents"/>
              <w:bidi w:val="0"/>
              <w:spacing w:before="0" w:after="283"/>
              <w:jc w:val="left"/>
              <w:rPr/>
            </w:pPr>
            <w:r>
              <w:rPr/>
              <w:t> </w:t>
            </w:r>
          </w:p>
        </w:tc>
        <w:tc>
          <w:tcPr>
            <w:tcW w:w="260" w:type="dxa"/>
            <w:tcBorders/>
            <w:tcMar>
              <w:bottom w:w="0" w:type="dxa"/>
            </w:tcMar>
            <w:vAlign w:val="center"/>
          </w:tcPr>
          <w:p>
            <w:pPr>
              <w:pStyle w:val="TableContents"/>
              <w:bidi w:val="0"/>
              <w:spacing w:before="0" w:after="283"/>
              <w:jc w:val="left"/>
              <w:rPr/>
            </w:pPr>
            <w:r>
              <w:rPr/>
              <w:t> </w:t>
            </w:r>
          </w:p>
        </w:tc>
        <w:tc>
          <w:tcPr>
            <w:tcW w:w="630" w:type="dxa"/>
            <w:tcBorders/>
            <w:tcMar>
              <w:bottom w:w="0" w:type="dxa"/>
            </w:tcMar>
            <w:vAlign w:val="center"/>
          </w:tcPr>
          <w:p>
            <w:pPr>
              <w:pStyle w:val="TableContents"/>
              <w:bidi w:val="0"/>
              <w:spacing w:before="0" w:after="283"/>
              <w:jc w:val="right"/>
              <w:rPr/>
            </w:pPr>
            <w:r>
              <w:rPr/>
              <w:t>231</w:t>
            </w:r>
          </w:p>
        </w:tc>
        <w:tc>
          <w:tcPr>
            <w:tcW w:w="135" w:type="dxa"/>
            <w:tcBorders/>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30" w:type="dxa"/>
            <w:tcBorders/>
            <w:shd w:fill="CCEEFF" w:val="clear"/>
            <w:tcMar>
              <w:bottom w:w="0" w:type="dxa"/>
            </w:tcMar>
            <w:vAlign w:val="center"/>
          </w:tcPr>
          <w:p>
            <w:pPr>
              <w:pStyle w:val="TableContents"/>
              <w:bidi w:val="0"/>
              <w:spacing w:before="0" w:after="283"/>
              <w:jc w:val="right"/>
              <w:rPr/>
            </w:pPr>
            <w:r>
              <w:rPr/>
              <w:t>54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tcMar>
              <w:bottom w:w="0" w:type="dxa"/>
            </w:tcMar>
            <w:vAlign w:val="center"/>
          </w:tcPr>
          <w:p>
            <w:pPr>
              <w:pStyle w:val="TableContents"/>
              <w:bidi w:val="0"/>
              <w:spacing w:before="0" w:after="283"/>
              <w:jc w:val="left"/>
              <w:rPr/>
            </w:pPr>
            <w:r>
              <w:rPr/>
              <w:t>2029</w:t>
            </w:r>
          </w:p>
        </w:tc>
        <w:tc>
          <w:tcPr>
            <w:tcW w:w="90" w:type="dxa"/>
            <w:tcBorders/>
            <w:tcMar>
              <w:bottom w:w="0" w:type="dxa"/>
            </w:tcMar>
            <w:vAlign w:val="center"/>
          </w:tcPr>
          <w:p>
            <w:pPr>
              <w:pStyle w:val="TableContents"/>
              <w:bidi w:val="0"/>
              <w:spacing w:before="0" w:after="283"/>
              <w:jc w:val="left"/>
              <w:rPr/>
            </w:pPr>
            <w:r>
              <w:rPr/>
              <w:t> </w:t>
            </w:r>
          </w:p>
        </w:tc>
        <w:tc>
          <w:tcPr>
            <w:tcW w:w="260" w:type="dxa"/>
            <w:tcBorders/>
            <w:tcMar>
              <w:bottom w:w="0" w:type="dxa"/>
            </w:tcMar>
            <w:vAlign w:val="center"/>
          </w:tcPr>
          <w:p>
            <w:pPr>
              <w:pStyle w:val="TableContents"/>
              <w:bidi w:val="0"/>
              <w:spacing w:before="0" w:after="283"/>
              <w:jc w:val="left"/>
              <w:rPr/>
            </w:pPr>
            <w:r>
              <w:rPr/>
              <w:t> </w:t>
            </w:r>
          </w:p>
        </w:tc>
        <w:tc>
          <w:tcPr>
            <w:tcW w:w="630" w:type="dxa"/>
            <w:tcBorders/>
            <w:tcMar>
              <w:bottom w:w="0" w:type="dxa"/>
            </w:tcMar>
            <w:vAlign w:val="center"/>
          </w:tcPr>
          <w:p>
            <w:pPr>
              <w:pStyle w:val="TableContents"/>
              <w:bidi w:val="0"/>
              <w:spacing w:before="0" w:after="283"/>
              <w:jc w:val="right"/>
              <w:rPr/>
            </w:pPr>
            <w:r>
              <w:rPr/>
              <w:t>56</w:t>
            </w:r>
          </w:p>
        </w:tc>
        <w:tc>
          <w:tcPr>
            <w:tcW w:w="135" w:type="dxa"/>
            <w:tcBorders/>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0" w:type="dxa"/>
            <w:tcBorders>
              <w:bottom w:val="single" w:sz="12" w:space="0" w:color="000000"/>
            </w:tcBorders>
            <w:shd w:fill="CCEEFF" w:val="clear"/>
            <w:vAlign w:val="center"/>
          </w:tcPr>
          <w:p>
            <w:pPr>
              <w:pStyle w:val="TableContents"/>
              <w:bidi w:val="0"/>
              <w:spacing w:before="0" w:after="283"/>
              <w:jc w:val="left"/>
              <w:rPr/>
            </w:pPr>
            <w:r>
              <w:rPr/>
              <w:t> </w:t>
            </w:r>
          </w:p>
        </w:tc>
        <w:tc>
          <w:tcPr>
            <w:tcW w:w="630" w:type="dxa"/>
            <w:tcBorders>
              <w:bottom w:val="single" w:sz="12" w:space="0" w:color="000000"/>
            </w:tcBorders>
            <w:shd w:fill="CCEEFF" w:val="clear"/>
            <w:vAlign w:val="center"/>
          </w:tcPr>
          <w:p>
            <w:pPr>
              <w:pStyle w:val="TableContents"/>
              <w:bidi w:val="0"/>
              <w:spacing w:before="0" w:after="283"/>
              <w:jc w:val="right"/>
              <w:rPr/>
            </w:pPr>
            <w:r>
              <w:rPr/>
              <w:t>14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tcMar>
              <w:bottom w:w="0" w:type="dxa"/>
            </w:tcMar>
            <w:vAlign w:val="center"/>
          </w:tcPr>
          <w:p>
            <w:pPr>
              <w:pStyle w:val="TableContents"/>
              <w:bidi w:val="0"/>
              <w:spacing w:before="0" w:after="283"/>
              <w:jc w:val="left"/>
              <w:rPr/>
            </w:pPr>
            <w:r>
              <w:rPr/>
              <w:t>Total future minimum lease payments</w:t>
            </w:r>
          </w:p>
        </w:tc>
        <w:tc>
          <w:tcPr>
            <w:tcW w:w="90" w:type="dxa"/>
            <w:tcBorders/>
            <w:tcMar>
              <w:bottom w:w="0" w:type="dxa"/>
            </w:tcMar>
            <w:vAlign w:val="center"/>
          </w:tcPr>
          <w:p>
            <w:pPr>
              <w:pStyle w:val="TableContents"/>
              <w:bidi w:val="0"/>
              <w:spacing w:before="0" w:after="283"/>
              <w:jc w:val="left"/>
              <w:rPr/>
            </w:pPr>
            <w:r>
              <w:rPr/>
              <w:t> </w:t>
            </w:r>
          </w:p>
        </w:tc>
        <w:tc>
          <w:tcPr>
            <w:tcW w:w="260" w:type="dxa"/>
            <w:tcBorders>
              <w:bottom w:val="single" w:sz="12" w:space="0" w:color="000000"/>
            </w:tcBorders>
            <w:vAlign w:val="center"/>
          </w:tcPr>
          <w:p>
            <w:pPr>
              <w:pStyle w:val="TableContents"/>
              <w:bidi w:val="0"/>
              <w:spacing w:before="0" w:after="283"/>
              <w:jc w:val="left"/>
              <w:rPr/>
            </w:pPr>
            <w:r>
              <w:rPr/>
              <w:t>$</w:t>
            </w:r>
          </w:p>
        </w:tc>
        <w:tc>
          <w:tcPr>
            <w:tcW w:w="630" w:type="dxa"/>
            <w:tcBorders>
              <w:bottom w:val="single" w:sz="12" w:space="0" w:color="000000"/>
            </w:tcBorders>
            <w:vAlign w:val="center"/>
          </w:tcPr>
          <w:p>
            <w:pPr>
              <w:pStyle w:val="TableContents"/>
              <w:bidi w:val="0"/>
              <w:spacing w:before="0" w:after="283"/>
              <w:jc w:val="right"/>
              <w:rPr/>
            </w:pPr>
            <w:r>
              <w:rPr/>
              <w:t>565</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we entered into a securities purchase agreement (the “Purchase Agreement”) with an institutional investor. Pursuant to the Purchase Agreement, we agreed to issue and sell to the investor, and the investor agreed to purchase from us, in a private placement (the “Private Placement”), 8,500,000 shares of our Class B common stock, at a purchase price of $4.55 per share, for aggregate gross proceeds of $38,675,000, prior to deducting placement agent’s fees and other offering expenses payable by us. The Private Placement closed on January 29, 2026. The net proceeds from the Private Placement were approximately $36.2 million, after deducting placement agent fees and estimated offering expenses payable by us. We intend to use the net proceeds for working capital, general corporate purposes, including the further development of our product capabilities, and the procurement of inventory, specifically for robotic hardware.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k_009"/>
      <w:bookmarkEnd w:id="10"/>
      <w:r>
        <w:rPr>
          <w:rFonts w:ascii="Times New Roman;Times;Serif" w:hAnsi="Times New Roman;Times;Serif"/>
          <w:b/>
          <w:i w:val="false"/>
          <w:caps w:val="false"/>
          <w:smallCaps w:val="false"/>
          <w:sz w:val="20"/>
        </w:rPr>
        <w:t xml:space="preserve">ITEM 2. Management’s Discussion and Analysis of Financial Condition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should be read in conjunction with our consolidated financial statements and the related notes contained elsewhere in this Report and in our other filings with the SEC. The following discussion may contain predictions, estimates, and other forward-looking statements that involve a number of risks and uncertainties, including those discussed under “Risk Factors” in our 2025 Annual Report and elsewhere in this Report. These risks could cause our actual results to differ materially from any future performance suggested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robotics company focused on the development of embodied AI systems for manufacturing, retail, hospitality, and other sectors. We develop proprietary hardware and software that employ the latest robotics and AI innovations. Our goal is to deploy robotics at scale in business operations across our target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we entered into the Purchase Agreement with an institutional investor. Pursuant to the Purchase Agreement, we agreed to issue and sell to the investor, and the investor agreed to purchase from us, in the Private Placement, 8,500,000 shares of our Class B common stock, at a purchase price of $4.55 per share, for aggregate gross proceeds of $38,675,000, prior to deducting placement agent’s fees and other offering expenses payable by us. The Private Placement closed on January 29, 2026. The net proceeds from the Private Placement were approximately $36.2 million, after deducting placement agent fees and estimated offering expenses payable by us. We intend to use the net proceeds for working capital, general corporate purposes, including the further development of our product capabilities, and the procurement of inventory, specifically for robotic hardware.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Business Highlights for the First Quarter of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and Operational Milestones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RaaS Contract Acceleration: Successfully expanded our Robots-as-a-Service (RaaS) footprint, demonstrating continued market adoption of our recurring revenue model. This growth validates our long-term strategy to shift away from one-time hardware sales toward a high-quality, predictable revenue base.</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Continued   Investment in Research and Development: During the first quarter of fiscal year 2026, we continued to invest in research and development focused on artificial intelligence, system autonomy, and intelligent human-machine interaction across our robotic platforms. As a member of the NVIDIA Connect program, we have continued to utilize NVIDIA-based AI computing platforms and robotics software frameworks to enhance real-time perception, decision-making, and on-device autonomy.</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sz w:val="20"/>
              </w:rPr>
            </w:pPr>
            <w:r>
              <w:rPr>
                <w:sz w:val="20"/>
              </w:rPr>
              <w:t>In addition, during the quarter, we continued development activities under a previously disclosed non-commercial technology collaboration agreement with Microsoft Corporation through the Microsoft AI Co-Innovation Lab, supporting the evaluation and development of certain artificial intelligence workflows. Subsequent to the end of the quarter, Microsoft published a blog post on its website referencing this engagement.</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sz w:val="20"/>
              </w:rPr>
            </w:pPr>
            <w:r>
              <w:rPr>
                <w:sz w:val="20"/>
              </w:rPr>
              <w:t>These efforts are intended to enhance product functionality and support scalable commercial deployment across multiple industry verticals.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Expansion of Hospitality Management Segment (AlphaMax): Advanced the strategic rollout of our proprietary hospitality concepts by commencing development of a new Clouffee and Tea location in the San Francisco Financial District. Site preparation and operational workflows are currently in progress, with the location scheduled to officially commence operations in the second quarter of fiscal year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and Capital Milestones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Net loss attributable to common stockholders was $(8.4) million for the quarter, compared to $(3.5) million in the prior year period. Excluding stock-based compensation expenses, the Adjusted Net Loss Attributable to Common Stockholders was $(0.1 million), a substantial improvement compared to the $(3.5 million) Adjusted Net Loss in the prior year period. On a per-share basis, the Adjusted Basic and Diluted Net Loss was $0.00, compared to $(0.04) per share in the prior year quarter.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Balance Sheet Strengthening: We successfully utilized our ATM offering program and exercise of warrants to raise $46.5 million in gross proceeds, substantially strengthening our liquidity and providing capital to accelerate the build-out of the RaaS asset fleet. A portion of these proceeds was generated through a direct sale of shares to a large institutional investor under the ATM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and Trends Affecting Our Business and Results of Operations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trends and uncertainties either affected our financial performance historically or are likely to impact our results of operations in the future: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As our robotic products’ market potential is seen by others, more competitors could enter the market, which may lead to price competition and a decline in profit margins;</w:t>
            </w:r>
          </w:p>
        </w:tc>
      </w:tr>
    </w:tbl>
    <w:p>
      <w:pPr>
        <w:pStyle w:val="TextBody"/>
        <w:bidi w:val="0"/>
        <w:spacing w:before="0" w:after="0"/>
        <w:ind w:left="960" w:right="0" w:hanging="48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105"/>
        <w:gridCol w:w="200"/>
        <w:gridCol w:w="75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sz w:val="20"/>
              </w:rPr>
            </w:pPr>
            <w:r>
              <w:rPr>
                <w:sz w:val="20"/>
              </w:rPr>
              <w:t>A recession could lead to a decline in customer demand in our robotic products and services;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products are currently assembled by suppliers in China, which may delay the supply if they are affected by international shipping, epidemic, geopolitical conflicts and other factors;</w:t>
            </w:r>
          </w:p>
          <w:p>
            <w:pPr>
              <w:pStyle w:val="TableContents"/>
              <w:bidi w:val="0"/>
              <w:spacing w:before="0" w:after="0"/>
              <w:ind w:left="0" w:right="0" w:hanging="0"/>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We anticipate that our general and administrative expenses will continue to increase in the future as a result of increased costs associated with being a public company. These increases will likely include increased costs related to the hiring of additional personnel and fees to outside consultants, attorneys, and accountants, and personnel-related stock-based compensation costs, among other expenses, and, in the case of public company-related expenses, services associated with strengthening our internal control over financial reporting, maintaining compliance with Nasdaq listing and SEC reporting requirements, director and officer liability insurance costs, and investor and public relations costs, among other expenses;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Inflationary pressures are also a concern as it is difficult to make reliable projections for the cost of components. This means profit margins could be affected, and our pricing would need to be re-evaluated on a regular basis.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(in thousands) for the three months ended December 31, 2025 and 2024, together with the dollar change in those items from period to period:</w:t>
      </w:r>
    </w:p>
    <w:p>
      <w:pPr>
        <w:pStyle w:val="TextBody"/>
        <w:bidi w:val="0"/>
        <w:spacing w:before="0" w:after="0"/>
        <w:ind w:left="0" w:right="0" w:firstLine="6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30"/>
        <w:gridCol w:w="90"/>
        <w:gridCol w:w="182"/>
        <w:gridCol w:w="844"/>
        <w:gridCol w:w="133"/>
        <w:gridCol w:w="96"/>
        <w:gridCol w:w="182"/>
        <w:gridCol w:w="715"/>
        <w:gridCol w:w="125"/>
        <w:gridCol w:w="90"/>
        <w:gridCol w:w="172"/>
        <w:gridCol w:w="673"/>
        <w:gridCol w:w="173"/>
      </w:tblGrid>
      <w:tr>
        <w:trPr/>
        <w:tc>
          <w:tcPr>
            <w:tcW w:w="6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6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73" w:type="dxa"/>
            <w:tcBorders/>
            <w:vAlign w:val="center"/>
          </w:tcPr>
          <w:p>
            <w:pPr>
              <w:pStyle w:val="TableContents"/>
              <w:bidi w:val="0"/>
              <w:spacing w:before="0" w:after="283"/>
              <w:jc w:val="left"/>
              <w:rPr/>
            </w:pPr>
            <w:r>
              <w:rPr/>
              <w:t> </w:t>
            </w:r>
          </w:p>
        </w:tc>
      </w:tr>
      <w:tr>
        <w:trPr/>
        <w:tc>
          <w:tcPr>
            <w:tcW w:w="6730" w:type="dxa"/>
            <w:tcBorders/>
            <w:shd w:fill="CCEEFF" w:val="clear"/>
            <w:vAlign w:val="center"/>
          </w:tcPr>
          <w:p>
            <w:pPr>
              <w:pStyle w:val="TableContents"/>
              <w:bidi w:val="0"/>
              <w:spacing w:before="0" w:after="283"/>
              <w:jc w:val="left"/>
              <w:rPr/>
            </w:pPr>
            <w:r>
              <w:rPr/>
              <w:t>Revenue, net</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44" w:type="dxa"/>
            <w:tcBorders/>
            <w:shd w:fill="CCEEFF" w:val="clear"/>
            <w:vAlign w:val="center"/>
          </w:tcPr>
          <w:p>
            <w:pPr>
              <w:pStyle w:val="TableContents"/>
              <w:bidi w:val="0"/>
              <w:spacing w:before="0" w:after="283"/>
              <w:jc w:val="right"/>
              <w:rPr/>
            </w:pPr>
            <w:r>
              <w:rPr/>
              <w:t>1,147</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715" w:type="dxa"/>
            <w:tcBorders/>
            <w:shd w:fill="CCEEFF" w:val="clear"/>
            <w:vAlign w:val="center"/>
          </w:tcPr>
          <w:p>
            <w:pPr>
              <w:pStyle w:val="TableContents"/>
              <w:bidi w:val="0"/>
              <w:spacing w:before="0" w:after="283"/>
              <w:jc w:val="right"/>
              <w:rPr/>
            </w:pPr>
            <w:r>
              <w:rPr/>
              <w:t>1,257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73" w:type="dxa"/>
            <w:tcBorders/>
            <w:shd w:fill="CCEEFF" w:val="clear"/>
            <w:vAlign w:val="center"/>
          </w:tcPr>
          <w:p>
            <w:pPr>
              <w:pStyle w:val="TableContents"/>
              <w:bidi w:val="0"/>
              <w:spacing w:before="0" w:after="283"/>
              <w:jc w:val="right"/>
              <w:rPr/>
            </w:pPr>
            <w:r>
              <w:rPr/>
              <w:t>(110</w:t>
            </w:r>
          </w:p>
        </w:tc>
        <w:tc>
          <w:tcPr>
            <w:tcW w:w="173" w:type="dxa"/>
            <w:tcBorders/>
            <w:shd w:fill="CCEEFF" w:val="clear"/>
            <w:vAlign w:val="center"/>
          </w:tcPr>
          <w:p>
            <w:pPr>
              <w:pStyle w:val="TableContents"/>
              <w:bidi w:val="0"/>
              <w:spacing w:before="0" w:after="283"/>
              <w:jc w:val="left"/>
              <w:rPr/>
            </w:pPr>
            <w:r>
              <w:rPr/>
              <w:t>)</w:t>
            </w:r>
          </w:p>
        </w:tc>
      </w:tr>
      <w:tr>
        <w:trPr/>
        <w:tc>
          <w:tcPr>
            <w:tcW w:w="6730" w:type="dxa"/>
            <w:tcBorders/>
            <w:vAlign w:val="center"/>
          </w:tcPr>
          <w:p>
            <w:pPr>
              <w:pStyle w:val="TableContents"/>
              <w:bidi w:val="0"/>
              <w:spacing w:before="0" w:after="283"/>
              <w:jc w:val="left"/>
              <w:rPr/>
            </w:pPr>
            <w:r>
              <w:rPr/>
              <w:t>Cost of revenue, net</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tcMar>
              <w:bottom w:w="28" w:type="dxa"/>
            </w:tcMar>
            <w:vAlign w:val="center"/>
          </w:tcPr>
          <w:p>
            <w:pPr>
              <w:pStyle w:val="TableContents"/>
              <w:bidi w:val="0"/>
              <w:spacing w:before="0" w:after="283"/>
              <w:jc w:val="right"/>
              <w:rPr/>
            </w:pPr>
            <w:r>
              <w:rPr/>
              <w:t>547</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715" w:type="dxa"/>
            <w:tcBorders>
              <w:bottom w:val="single" w:sz="12" w:space="0" w:color="000000"/>
            </w:tcBorders>
            <w:tcMar>
              <w:bottom w:w="28" w:type="dxa"/>
            </w:tcMar>
            <w:vAlign w:val="center"/>
          </w:tcPr>
          <w:p>
            <w:pPr>
              <w:pStyle w:val="TableContents"/>
              <w:bidi w:val="0"/>
              <w:spacing w:before="0" w:after="283"/>
              <w:jc w:val="right"/>
              <w:rPr/>
            </w:pPr>
            <w:r>
              <w:rPr/>
              <w:t>123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673" w:type="dxa"/>
            <w:tcBorders>
              <w:bottom w:val="single" w:sz="12" w:space="0" w:color="000000"/>
            </w:tcBorders>
            <w:tcMar>
              <w:bottom w:w="28" w:type="dxa"/>
            </w:tcMar>
            <w:vAlign w:val="center"/>
          </w:tcPr>
          <w:p>
            <w:pPr>
              <w:pStyle w:val="TableContents"/>
              <w:bidi w:val="0"/>
              <w:spacing w:before="0" w:after="283"/>
              <w:jc w:val="right"/>
              <w:rPr/>
            </w:pPr>
            <w:r>
              <w:rPr/>
              <w:t>424</w:t>
            </w:r>
          </w:p>
        </w:tc>
        <w:tc>
          <w:tcPr>
            <w:tcW w:w="173" w:type="dxa"/>
            <w:tcBorders/>
            <w:vAlign w:val="center"/>
          </w:tcPr>
          <w:p>
            <w:pPr>
              <w:pStyle w:val="TableContents"/>
              <w:bidi w:val="0"/>
              <w:spacing w:before="0" w:after="283"/>
              <w:jc w:val="left"/>
              <w:rPr/>
            </w:pPr>
            <w:r>
              <w:rPr/>
              <w:t> </w:t>
            </w:r>
          </w:p>
        </w:tc>
      </w:tr>
      <w:tr>
        <w:trPr/>
        <w:tc>
          <w:tcPr>
            <w:tcW w:w="6730"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shd w:fill="CCEEFF" w:val="clear"/>
            <w:tcMar>
              <w:bottom w:w="28" w:type="dxa"/>
            </w:tcMar>
            <w:vAlign w:val="center"/>
          </w:tcPr>
          <w:p>
            <w:pPr>
              <w:pStyle w:val="TableContents"/>
              <w:bidi w:val="0"/>
              <w:spacing w:before="0" w:after="283"/>
              <w:jc w:val="right"/>
              <w:rPr/>
            </w:pPr>
            <w:r>
              <w:rPr/>
              <w:t>600</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5" w:type="dxa"/>
            <w:tcBorders>
              <w:bottom w:val="single" w:sz="12" w:space="0" w:color="000000"/>
            </w:tcBorders>
            <w:shd w:fill="CCEEFF" w:val="clear"/>
            <w:tcMar>
              <w:bottom w:w="28" w:type="dxa"/>
            </w:tcMar>
            <w:vAlign w:val="center"/>
          </w:tcPr>
          <w:p>
            <w:pPr>
              <w:pStyle w:val="TableContents"/>
              <w:bidi w:val="0"/>
              <w:spacing w:before="0" w:after="283"/>
              <w:jc w:val="right"/>
              <w:rPr/>
            </w:pPr>
            <w:r>
              <w:rPr/>
              <w:t>1,134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3" w:type="dxa"/>
            <w:tcBorders>
              <w:bottom w:val="single" w:sz="12" w:space="0" w:color="000000"/>
            </w:tcBorders>
            <w:shd w:fill="CCEEFF" w:val="clear"/>
            <w:tcMar>
              <w:bottom w:w="28" w:type="dxa"/>
            </w:tcMar>
            <w:vAlign w:val="center"/>
          </w:tcPr>
          <w:p>
            <w:pPr>
              <w:pStyle w:val="TableContents"/>
              <w:bidi w:val="0"/>
              <w:spacing w:before="0" w:after="283"/>
              <w:jc w:val="right"/>
              <w:rPr/>
            </w:pPr>
            <w:r>
              <w:rPr/>
              <w:t>(534</w:t>
            </w:r>
          </w:p>
        </w:tc>
        <w:tc>
          <w:tcPr>
            <w:tcW w:w="173" w:type="dxa"/>
            <w:tcBorders/>
            <w:shd w:fill="CCEEFF" w:val="clear"/>
            <w:vAlign w:val="center"/>
          </w:tcPr>
          <w:p>
            <w:pPr>
              <w:pStyle w:val="TableContents"/>
              <w:bidi w:val="0"/>
              <w:spacing w:before="0" w:after="283"/>
              <w:jc w:val="left"/>
              <w:rPr/>
            </w:pPr>
            <w:r>
              <w:rPr/>
              <w:t>)</w:t>
            </w:r>
          </w:p>
        </w:tc>
      </w:tr>
      <w:tr>
        <w:trPr/>
        <w:tc>
          <w:tcPr>
            <w:tcW w:w="6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 </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6730" w:type="dxa"/>
            <w:tcBorders/>
            <w:shd w:fill="CCEEFF" w:val="clear"/>
            <w:vAlign w:val="center"/>
          </w:tcPr>
          <w:p>
            <w:pPr>
              <w:pStyle w:val="TableContents"/>
              <w:bidi w:val="0"/>
              <w:spacing w:before="0" w:after="283"/>
              <w:jc w:val="left"/>
              <w:rPr/>
            </w:pPr>
            <w:r>
              <w:rPr/>
              <w:t>Operating expenses: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6730" w:type="dxa"/>
            <w:tcBorders/>
            <w:vAlign w:val="center"/>
          </w:tcPr>
          <w:p>
            <w:pPr>
              <w:pStyle w:val="TableContents"/>
              <w:bidi w:val="0"/>
              <w:spacing w:before="0" w:after="283"/>
              <w:jc w:val="left"/>
              <w:rPr/>
            </w:pPr>
            <w:r>
              <w:rPr/>
              <w:t>Research and development</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448</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right"/>
              <w:rPr/>
            </w:pPr>
            <w:r>
              <w:rPr/>
              <w:t>484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right"/>
              <w:rPr/>
            </w:pPr>
            <w:r>
              <w:rPr/>
              <w:t>(36</w:t>
            </w:r>
          </w:p>
        </w:tc>
        <w:tc>
          <w:tcPr>
            <w:tcW w:w="173" w:type="dxa"/>
            <w:tcBorders/>
            <w:vAlign w:val="center"/>
          </w:tcPr>
          <w:p>
            <w:pPr>
              <w:pStyle w:val="TableContents"/>
              <w:bidi w:val="0"/>
              <w:spacing w:before="0" w:after="283"/>
              <w:jc w:val="left"/>
              <w:rPr/>
            </w:pPr>
            <w:r>
              <w:rPr/>
              <w:t>)</w:t>
            </w:r>
          </w:p>
        </w:tc>
      </w:tr>
      <w:tr>
        <w:trPr/>
        <w:tc>
          <w:tcPr>
            <w:tcW w:w="6730" w:type="dxa"/>
            <w:tcBorders/>
            <w:shd w:fill="CCEEFF" w:val="clear"/>
            <w:vAlign w:val="center"/>
          </w:tcPr>
          <w:p>
            <w:pPr>
              <w:pStyle w:val="TableContents"/>
              <w:bidi w:val="0"/>
              <w:spacing w:before="0" w:after="283"/>
              <w:jc w:val="left"/>
              <w:rPr/>
            </w:pPr>
            <w:r>
              <w:rPr/>
              <w:t>Sales and marketing</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188</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t>245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(57</w:t>
            </w:r>
          </w:p>
        </w:tc>
        <w:tc>
          <w:tcPr>
            <w:tcW w:w="173" w:type="dxa"/>
            <w:tcBorders/>
            <w:shd w:fill="CCEEFF" w:val="clear"/>
            <w:vAlign w:val="center"/>
          </w:tcPr>
          <w:p>
            <w:pPr>
              <w:pStyle w:val="TableContents"/>
              <w:bidi w:val="0"/>
              <w:spacing w:before="0" w:after="283"/>
              <w:jc w:val="left"/>
              <w:rPr/>
            </w:pPr>
            <w:r>
              <w:rPr/>
              <w:t>)</w:t>
            </w:r>
          </w:p>
        </w:tc>
      </w:tr>
      <w:tr>
        <w:trPr/>
        <w:tc>
          <w:tcPr>
            <w:tcW w:w="6730" w:type="dxa"/>
            <w:tcBorders/>
            <w:vAlign w:val="center"/>
          </w:tcPr>
          <w:p>
            <w:pPr>
              <w:pStyle w:val="TableContents"/>
              <w:bidi w:val="0"/>
              <w:spacing w:before="0" w:after="283"/>
              <w:jc w:val="left"/>
              <w:rPr/>
            </w:pPr>
            <w:r>
              <w:rPr/>
              <w:t>General and administrative</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tcMar>
              <w:bottom w:w="28" w:type="dxa"/>
            </w:tcMar>
            <w:vAlign w:val="center"/>
          </w:tcPr>
          <w:p>
            <w:pPr>
              <w:pStyle w:val="TableContents"/>
              <w:bidi w:val="0"/>
              <w:spacing w:before="0" w:after="283"/>
              <w:jc w:val="right"/>
              <w:rPr/>
            </w:pPr>
            <w:r>
              <w:rPr/>
              <w:t>11,773</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715" w:type="dxa"/>
            <w:tcBorders>
              <w:bottom w:val="single" w:sz="12" w:space="0" w:color="000000"/>
            </w:tcBorders>
            <w:tcMar>
              <w:bottom w:w="28" w:type="dxa"/>
            </w:tcMar>
            <w:vAlign w:val="center"/>
          </w:tcPr>
          <w:p>
            <w:pPr>
              <w:pStyle w:val="TableContents"/>
              <w:bidi w:val="0"/>
              <w:spacing w:before="0" w:after="283"/>
              <w:jc w:val="right"/>
              <w:rPr/>
            </w:pPr>
            <w:r>
              <w:rPr/>
              <w:t>4,303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673" w:type="dxa"/>
            <w:tcBorders>
              <w:bottom w:val="single" w:sz="12" w:space="0" w:color="000000"/>
            </w:tcBorders>
            <w:tcMar>
              <w:bottom w:w="28" w:type="dxa"/>
            </w:tcMar>
            <w:vAlign w:val="center"/>
          </w:tcPr>
          <w:p>
            <w:pPr>
              <w:pStyle w:val="TableContents"/>
              <w:bidi w:val="0"/>
              <w:spacing w:before="0" w:after="283"/>
              <w:jc w:val="right"/>
              <w:rPr/>
            </w:pPr>
            <w:r>
              <w:rPr/>
              <w:t>7,463</w:t>
            </w:r>
          </w:p>
        </w:tc>
        <w:tc>
          <w:tcPr>
            <w:tcW w:w="173" w:type="dxa"/>
            <w:tcBorders/>
            <w:vAlign w:val="center"/>
          </w:tcPr>
          <w:p>
            <w:pPr>
              <w:pStyle w:val="TableContents"/>
              <w:bidi w:val="0"/>
              <w:spacing w:before="0" w:after="283"/>
              <w:jc w:val="left"/>
              <w:rPr/>
            </w:pPr>
            <w:r>
              <w:rPr/>
              <w:t> </w:t>
            </w:r>
          </w:p>
        </w:tc>
      </w:tr>
      <w:tr>
        <w:trPr/>
        <w:tc>
          <w:tcPr>
            <w:tcW w:w="6730"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shd w:fill="CCEEFF" w:val="clear"/>
            <w:tcMar>
              <w:bottom w:w="28" w:type="dxa"/>
            </w:tcMar>
            <w:vAlign w:val="center"/>
          </w:tcPr>
          <w:p>
            <w:pPr>
              <w:pStyle w:val="TableContents"/>
              <w:bidi w:val="0"/>
              <w:spacing w:before="0" w:after="283"/>
              <w:jc w:val="right"/>
              <w:rPr/>
            </w:pPr>
            <w:r>
              <w:rPr/>
              <w:t>12,409</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5" w:type="dxa"/>
            <w:tcBorders>
              <w:bottom w:val="single" w:sz="12" w:space="0" w:color="000000"/>
            </w:tcBorders>
            <w:shd w:fill="CCEEFF" w:val="clear"/>
            <w:tcMar>
              <w:bottom w:w="28" w:type="dxa"/>
            </w:tcMar>
            <w:vAlign w:val="center"/>
          </w:tcPr>
          <w:p>
            <w:pPr>
              <w:pStyle w:val="TableContents"/>
              <w:bidi w:val="0"/>
              <w:spacing w:before="0" w:after="283"/>
              <w:jc w:val="right"/>
              <w:rPr/>
            </w:pPr>
            <w:r>
              <w:rPr/>
              <w:t>5,032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3" w:type="dxa"/>
            <w:tcBorders>
              <w:bottom w:val="single" w:sz="12" w:space="0" w:color="000000"/>
            </w:tcBorders>
            <w:shd w:fill="CCEEFF" w:val="clear"/>
            <w:tcMar>
              <w:bottom w:w="28" w:type="dxa"/>
            </w:tcMar>
            <w:vAlign w:val="center"/>
          </w:tcPr>
          <w:p>
            <w:pPr>
              <w:pStyle w:val="TableContents"/>
              <w:bidi w:val="0"/>
              <w:spacing w:before="0" w:after="283"/>
              <w:jc w:val="right"/>
              <w:rPr/>
            </w:pPr>
            <w:r>
              <w:rPr/>
              <w:t>7,370</w:t>
            </w:r>
          </w:p>
        </w:tc>
        <w:tc>
          <w:tcPr>
            <w:tcW w:w="173" w:type="dxa"/>
            <w:tcBorders/>
            <w:shd w:fill="CCEEFF" w:val="clear"/>
            <w:vAlign w:val="center"/>
          </w:tcPr>
          <w:p>
            <w:pPr>
              <w:pStyle w:val="TableContents"/>
              <w:bidi w:val="0"/>
              <w:spacing w:before="0" w:after="283"/>
              <w:jc w:val="left"/>
              <w:rPr/>
            </w:pPr>
            <w:r>
              <w:rPr/>
              <w:t> </w:t>
            </w:r>
          </w:p>
        </w:tc>
      </w:tr>
      <w:tr>
        <w:trPr/>
        <w:tc>
          <w:tcPr>
            <w:tcW w:w="6730"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(11,809</w:t>
            </w:r>
          </w:p>
        </w:tc>
        <w:tc>
          <w:tcPr>
            <w:tcW w:w="133" w:type="dxa"/>
            <w:tcBorders/>
            <w:vAlign w:val="center"/>
          </w:tcPr>
          <w:p>
            <w:pPr>
              <w:pStyle w:val="TableContents"/>
              <w:bidi w:val="0"/>
              <w:spacing w:before="0" w:after="283"/>
              <w:jc w:val="left"/>
              <w:rPr/>
            </w:pPr>
            <w:r>
              <w:rPr/>
              <w:t>)</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right"/>
              <w:rPr/>
            </w:pPr>
            <w:r>
              <w:rPr/>
              <w:t>(3,898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right"/>
              <w:rPr/>
            </w:pPr>
            <w:r>
              <w:rPr/>
              <w:t>(7,904</w:t>
            </w:r>
          </w:p>
        </w:tc>
        <w:tc>
          <w:tcPr>
            <w:tcW w:w="173" w:type="dxa"/>
            <w:tcBorders/>
            <w:vAlign w:val="center"/>
          </w:tcPr>
          <w:p>
            <w:pPr>
              <w:pStyle w:val="TableContents"/>
              <w:bidi w:val="0"/>
              <w:spacing w:before="0" w:after="283"/>
              <w:jc w:val="left"/>
              <w:rPr/>
            </w:pPr>
            <w:r>
              <w:rPr/>
              <w:t>)</w:t>
            </w:r>
          </w:p>
        </w:tc>
      </w:tr>
      <w:tr>
        <w:trPr/>
        <w:tc>
          <w:tcPr>
            <w:tcW w:w="6730" w:type="dxa"/>
            <w:tcBorders/>
            <w:shd w:fill="CCEEFF" w:val="clear"/>
            <w:vAlign w:val="center"/>
          </w:tcPr>
          <w:p>
            <w:pPr>
              <w:pStyle w:val="TableContents"/>
              <w:bidi w:val="0"/>
              <w:spacing w:before="0" w:after="283"/>
              <w:jc w:val="left"/>
              <w:rPr/>
            </w:pPr>
            <w:r>
              <w:rPr/>
              <w:t>Non-operating income(expense):</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6730" w:type="dxa"/>
            <w:tcBorders/>
            <w:vAlign w:val="center"/>
          </w:tcPr>
          <w:p>
            <w:pPr>
              <w:pStyle w:val="TableContents"/>
              <w:bidi w:val="0"/>
              <w:spacing w:before="0" w:after="283"/>
              <w:jc w:val="left"/>
              <w:rPr/>
            </w:pPr>
            <w:r>
              <w:rPr/>
              <w:t>Investment Income</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3,401</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right"/>
              <w:rPr/>
            </w:pPr>
            <w:r>
              <w:rPr/>
              <w:t>333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right"/>
              <w:rPr/>
            </w:pPr>
            <w:r>
              <w:rPr/>
              <w:t>3,068</w:t>
            </w:r>
          </w:p>
        </w:tc>
        <w:tc>
          <w:tcPr>
            <w:tcW w:w="173" w:type="dxa"/>
            <w:tcBorders/>
            <w:vAlign w:val="center"/>
          </w:tcPr>
          <w:p>
            <w:pPr>
              <w:pStyle w:val="TableContents"/>
              <w:bidi w:val="0"/>
              <w:spacing w:before="0" w:after="283"/>
              <w:jc w:val="left"/>
              <w:rPr/>
            </w:pPr>
            <w:r>
              <w:rPr/>
              <w:t> </w:t>
            </w:r>
          </w:p>
        </w:tc>
      </w:tr>
      <w:tr>
        <w:trPr/>
        <w:tc>
          <w:tcPr>
            <w:tcW w:w="6730" w:type="dxa"/>
            <w:tcBorders/>
            <w:shd w:fill="CCEEFF" w:val="clear"/>
            <w:vAlign w:val="center"/>
          </w:tcPr>
          <w:p>
            <w:pPr>
              <w:pStyle w:val="TableContents"/>
              <w:bidi w:val="0"/>
              <w:spacing w:before="0" w:after="283"/>
              <w:jc w:val="left"/>
              <w:rPr/>
            </w:pPr>
            <w:r>
              <w:rPr/>
              <w:t>Interest expense, net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3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5"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3"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73" w:type="dxa"/>
            <w:tcBorders/>
            <w:shd w:fill="CCEEFF" w:val="clear"/>
            <w:vAlign w:val="center"/>
          </w:tcPr>
          <w:p>
            <w:pPr>
              <w:pStyle w:val="TableContents"/>
              <w:bidi w:val="0"/>
              <w:spacing w:before="0" w:after="283"/>
              <w:jc w:val="left"/>
              <w:rPr/>
            </w:pPr>
            <w:r>
              <w:rPr/>
              <w:t> </w:t>
            </w:r>
          </w:p>
        </w:tc>
      </w:tr>
      <w:tr>
        <w:trPr/>
        <w:tc>
          <w:tcPr>
            <w:tcW w:w="6730" w:type="dxa"/>
            <w:tcBorders/>
            <w:vAlign w:val="center"/>
          </w:tcPr>
          <w:p>
            <w:pPr>
              <w:pStyle w:val="TableContents"/>
              <w:bidi w:val="0"/>
              <w:spacing w:before="0" w:after="283"/>
              <w:jc w:val="left"/>
              <w:rPr/>
            </w:pPr>
            <w:r>
              <w:rPr/>
              <w:t>Total other expenses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3,399</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right"/>
              <w:rPr/>
            </w:pPr>
            <w:r>
              <w:rPr/>
              <w:t>(329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right"/>
              <w:rPr/>
            </w:pPr>
            <w:r>
              <w:rPr/>
              <w:t>3,726</w:t>
            </w:r>
          </w:p>
        </w:tc>
        <w:tc>
          <w:tcPr>
            <w:tcW w:w="173" w:type="dxa"/>
            <w:tcBorders/>
            <w:vAlign w:val="center"/>
          </w:tcPr>
          <w:p>
            <w:pPr>
              <w:pStyle w:val="TableContents"/>
              <w:bidi w:val="0"/>
              <w:spacing w:before="0" w:after="283"/>
              <w:jc w:val="left"/>
              <w:rPr/>
            </w:pPr>
            <w:r>
              <w:rPr/>
              <w:t> </w:t>
            </w:r>
          </w:p>
        </w:tc>
      </w:tr>
      <w:tr>
        <w:trPr/>
        <w:tc>
          <w:tcPr>
            <w:tcW w:w="6730" w:type="dxa"/>
            <w:tcBorders/>
            <w:shd w:fill="CCEEFF" w:val="clear"/>
            <w:vAlign w:val="center"/>
          </w:tcPr>
          <w:p>
            <w:pPr>
              <w:pStyle w:val="TableContents"/>
              <w:bidi w:val="0"/>
              <w:spacing w:before="0" w:after="283"/>
              <w:jc w:val="left"/>
              <w:rPr/>
            </w:pPr>
            <w:r>
              <w:rPr/>
              <w:t>Loss before income tax expense</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(8,410</w:t>
            </w:r>
          </w:p>
        </w:tc>
        <w:tc>
          <w:tcPr>
            <w:tcW w:w="13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t>(3,569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(4,836</w:t>
            </w:r>
          </w:p>
        </w:tc>
        <w:tc>
          <w:tcPr>
            <w:tcW w:w="173" w:type="dxa"/>
            <w:tcBorders/>
            <w:shd w:fill="CCEEFF" w:val="clear"/>
            <w:vAlign w:val="center"/>
          </w:tcPr>
          <w:p>
            <w:pPr>
              <w:pStyle w:val="TableContents"/>
              <w:bidi w:val="0"/>
              <w:spacing w:before="0" w:after="283"/>
              <w:jc w:val="left"/>
              <w:rPr/>
            </w:pPr>
            <w:r>
              <w:rPr/>
              <w:t>)</w:t>
            </w:r>
          </w:p>
        </w:tc>
      </w:tr>
      <w:tr>
        <w:trPr/>
        <w:tc>
          <w:tcPr>
            <w:tcW w:w="6730" w:type="dxa"/>
            <w:tcBorders/>
            <w:vAlign w:val="center"/>
          </w:tcPr>
          <w:p>
            <w:pPr>
              <w:pStyle w:val="TableContents"/>
              <w:bidi w:val="0"/>
              <w:spacing w:before="0" w:after="283"/>
              <w:jc w:val="left"/>
              <w:rPr>
                <w:b/>
              </w:rPr>
            </w:pPr>
            <w:r>
              <w:rPr>
                <w:b/>
              </w:rPr>
              <w:t>Consolidated net loss</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tcMar>
              <w:bottom w:w="28" w:type="dxa"/>
            </w:tcMar>
            <w:vAlign w:val="center"/>
          </w:tcPr>
          <w:p>
            <w:pPr>
              <w:pStyle w:val="TableContents"/>
              <w:bidi w:val="0"/>
              <w:spacing w:before="0" w:after="283"/>
              <w:jc w:val="right"/>
              <w:rPr>
                <w:b/>
              </w:rPr>
            </w:pPr>
            <w:r>
              <w:rPr>
                <w:b/>
              </w:rPr>
              <w:t>(8,410</w:t>
            </w:r>
          </w:p>
        </w:tc>
        <w:tc>
          <w:tcPr>
            <w:tcW w:w="133" w:type="dxa"/>
            <w:tcBorders/>
            <w:vAlign w:val="center"/>
          </w:tcPr>
          <w:p>
            <w:pPr>
              <w:pStyle w:val="TableContents"/>
              <w:bidi w:val="0"/>
              <w:spacing w:before="0" w:after="283"/>
              <w:jc w:val="left"/>
              <w:rPr>
                <w:b/>
              </w:rPr>
            </w:pPr>
            <w:r>
              <w:rPr>
                <w:b/>
              </w:rPr>
              <w:t>)</w:t>
            </w:r>
          </w:p>
        </w:tc>
        <w:tc>
          <w:tcPr>
            <w:tcW w:w="96"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715" w:type="dxa"/>
            <w:tcBorders>
              <w:bottom w:val="single" w:sz="12" w:space="0" w:color="000000"/>
            </w:tcBorders>
            <w:tcMar>
              <w:bottom w:w="28" w:type="dxa"/>
            </w:tcMar>
            <w:vAlign w:val="center"/>
          </w:tcPr>
          <w:p>
            <w:pPr>
              <w:pStyle w:val="TableContents"/>
              <w:bidi w:val="0"/>
              <w:spacing w:before="0" w:after="283"/>
              <w:jc w:val="right"/>
              <w:rPr>
                <w:b/>
              </w:rPr>
            </w:pPr>
            <w:r>
              <w:rPr>
                <w:b/>
              </w:rPr>
              <w:t>(3,569</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673" w:type="dxa"/>
            <w:tcBorders>
              <w:bottom w:val="single" w:sz="12" w:space="0" w:color="000000"/>
            </w:tcBorders>
            <w:tcMar>
              <w:bottom w:w="28" w:type="dxa"/>
            </w:tcMar>
            <w:vAlign w:val="center"/>
          </w:tcPr>
          <w:p>
            <w:pPr>
              <w:pStyle w:val="TableContents"/>
              <w:bidi w:val="0"/>
              <w:spacing w:before="0" w:after="283"/>
              <w:jc w:val="right"/>
              <w:rPr>
                <w:b/>
              </w:rPr>
            </w:pPr>
            <w:r>
              <w:rPr>
                <w:b/>
              </w:rPr>
              <w:t>(4,836</w:t>
            </w:r>
          </w:p>
        </w:tc>
        <w:tc>
          <w:tcPr>
            <w:tcW w:w="173" w:type="dxa"/>
            <w:tcBorders/>
            <w:vAlign w:val="center"/>
          </w:tcPr>
          <w:p>
            <w:pPr>
              <w:pStyle w:val="TableContents"/>
              <w:bidi w:val="0"/>
              <w:spacing w:before="0" w:after="283"/>
              <w:jc w:val="left"/>
              <w:rPr>
                <w:b/>
              </w:rPr>
            </w:pPr>
            <w:r>
              <w:rPr>
                <w:b/>
              </w:rPr>
              <w:t>)</w:t>
            </w:r>
          </w:p>
        </w:tc>
      </w:tr>
      <w:tr>
        <w:trPr/>
        <w:tc>
          <w:tcPr>
            <w:tcW w:w="6730" w:type="dxa"/>
            <w:tcBorders/>
            <w:shd w:fill="CCEEFF" w:val="clear"/>
            <w:vAlign w:val="center"/>
          </w:tcPr>
          <w:p>
            <w:pPr>
              <w:pStyle w:val="TableContents"/>
              <w:bidi w:val="0"/>
              <w:spacing w:before="0" w:after="283"/>
              <w:jc w:val="left"/>
              <w:rPr/>
            </w:pPr>
            <w:r>
              <w:rPr/>
              <w:t>Less: Net loss Attributable to Non-Controlling Interest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w:t>
            </w:r>
          </w:p>
        </w:tc>
        <w:tc>
          <w:tcPr>
            <w:tcW w:w="133" w:type="dxa"/>
            <w:tcBorders/>
            <w:shd w:fill="CCEEFF" w:val="clear"/>
            <w:vAlign w:val="center"/>
          </w:tcPr>
          <w:p>
            <w:pPr>
              <w:pStyle w:val="TableContents"/>
              <w:bidi w:val="0"/>
              <w:spacing w:before="0" w:after="283"/>
              <w:jc w:val="left"/>
              <w:rPr>
                <w:b/>
              </w:rPr>
            </w:pPr>
            <w:r>
              <w:rPr>
                <w:b/>
              </w:rPr>
              <w:t>)</w:t>
            </w:r>
          </w:p>
        </w:tc>
        <w:tc>
          <w:tcPr>
            <w:tcW w:w="96"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w:t>
            </w:r>
          </w:p>
        </w:tc>
        <w:tc>
          <w:tcPr>
            <w:tcW w:w="173" w:type="dxa"/>
            <w:tcBorders/>
            <w:shd w:fill="CCEEFF" w:val="clear"/>
            <w:vAlign w:val="center"/>
          </w:tcPr>
          <w:p>
            <w:pPr>
              <w:pStyle w:val="TableContents"/>
              <w:bidi w:val="0"/>
              <w:spacing w:before="0" w:after="283"/>
              <w:jc w:val="left"/>
              <w:rPr/>
            </w:pPr>
            <w:r>
              <w:rPr/>
              <w:t> </w:t>
            </w:r>
          </w:p>
        </w:tc>
      </w:tr>
      <w:tr>
        <w:trPr/>
        <w:tc>
          <w:tcPr>
            <w:tcW w:w="6730" w:type="dxa"/>
            <w:tcBorders/>
            <w:vAlign w:val="center"/>
          </w:tcPr>
          <w:p>
            <w:pPr>
              <w:pStyle w:val="TableContents"/>
              <w:bidi w:val="0"/>
              <w:spacing w:before="0" w:after="283"/>
              <w:jc w:val="left"/>
              <w:rPr>
                <w:b/>
              </w:rPr>
            </w:pPr>
            <w:r>
              <w:rPr>
                <w:b/>
              </w:rPr>
              <w:t>Net loss attributable to common stockholders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b/>
              </w:rPr>
            </w:pPr>
            <w:r>
              <w:rPr>
                <w:b/>
              </w:rPr>
              <w:t>$</w:t>
            </w:r>
          </w:p>
        </w:tc>
        <w:tc>
          <w:tcPr>
            <w:tcW w:w="844" w:type="dxa"/>
            <w:tcBorders/>
            <w:vAlign w:val="center"/>
          </w:tcPr>
          <w:p>
            <w:pPr>
              <w:pStyle w:val="TableContents"/>
              <w:bidi w:val="0"/>
              <w:spacing w:before="0" w:after="283"/>
              <w:jc w:val="right"/>
              <w:rPr>
                <w:b/>
              </w:rPr>
            </w:pPr>
            <w:r>
              <w:rPr>
                <w:b/>
              </w:rPr>
              <w:t>(8,402</w:t>
            </w:r>
          </w:p>
        </w:tc>
        <w:tc>
          <w:tcPr>
            <w:tcW w:w="133" w:type="dxa"/>
            <w:tcBorders/>
            <w:vAlign w:val="center"/>
          </w:tcPr>
          <w:p>
            <w:pPr>
              <w:pStyle w:val="TableContents"/>
              <w:bidi w:val="0"/>
              <w:spacing w:before="0" w:after="283"/>
              <w:jc w:val="left"/>
              <w:rPr>
                <w:b/>
              </w:rPr>
            </w:pPr>
            <w:r>
              <w:rPr>
                <w:b/>
              </w:rPr>
              <w:t>)</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b/>
              </w:rPr>
            </w:pPr>
            <w:r>
              <w:rPr>
                <w:b/>
              </w:rPr>
              <w:t>$</w:t>
            </w:r>
          </w:p>
        </w:tc>
        <w:tc>
          <w:tcPr>
            <w:tcW w:w="715" w:type="dxa"/>
            <w:tcBorders/>
            <w:vAlign w:val="center"/>
          </w:tcPr>
          <w:p>
            <w:pPr>
              <w:pStyle w:val="TableContents"/>
              <w:bidi w:val="0"/>
              <w:spacing w:before="0" w:after="283"/>
              <w:jc w:val="right"/>
              <w:rPr>
                <w:b/>
              </w:rPr>
            </w:pPr>
            <w:r>
              <w:rPr>
                <w:b/>
              </w:rPr>
              <w:t>(3,548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b/>
              </w:rPr>
            </w:pPr>
            <w:r>
              <w:rPr>
                <w:b/>
              </w:rPr>
              <w:t>$</w:t>
            </w:r>
          </w:p>
        </w:tc>
        <w:tc>
          <w:tcPr>
            <w:tcW w:w="673" w:type="dxa"/>
            <w:tcBorders/>
            <w:vAlign w:val="center"/>
          </w:tcPr>
          <w:p>
            <w:pPr>
              <w:pStyle w:val="TableContents"/>
              <w:bidi w:val="0"/>
              <w:spacing w:before="0" w:after="283"/>
              <w:jc w:val="right"/>
              <w:rPr>
                <w:b/>
              </w:rPr>
            </w:pPr>
            <w:r>
              <w:rPr>
                <w:b/>
              </w:rPr>
              <w:t>(4,849</w:t>
            </w:r>
          </w:p>
        </w:tc>
        <w:tc>
          <w:tcPr>
            <w:tcW w:w="173" w:type="dxa"/>
            <w:tcBorders/>
            <w:vAlign w:val="center"/>
          </w:tcPr>
          <w:p>
            <w:pPr>
              <w:pStyle w:val="TableContents"/>
              <w:bidi w:val="0"/>
              <w:spacing w:before="0" w:after="283"/>
              <w:jc w:val="left"/>
              <w:rPr>
                <w:b/>
              </w:rPr>
            </w:pPr>
            <w:r>
              <w:rPr>
                <w:b/>
              </w:rPr>
              <w:t>)</w:t>
            </w:r>
          </w:p>
        </w:tc>
      </w:tr>
      <w:tr>
        <w:trPr/>
        <w:tc>
          <w:tcPr>
            <w:tcW w:w="6730" w:type="dxa"/>
            <w:tcBorders/>
            <w:shd w:fill="CCEEFF" w:val="clear"/>
            <w:vAlign w:val="center"/>
          </w:tcPr>
          <w:p>
            <w:pPr>
              <w:pStyle w:val="TableContents"/>
              <w:bidi w:val="0"/>
              <w:spacing w:before="0" w:after="283"/>
              <w:jc w:val="left"/>
              <w:rPr>
                <w:b/>
              </w:rPr>
            </w:pPr>
            <w:r>
              <w:rPr>
                <w:b/>
              </w:rPr>
              <w:t>Adjusted net loss attributable to common stockholders (non-GAAP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b/>
              </w:rPr>
            </w:pPr>
            <w:r>
              <w:rPr>
                <w:b/>
              </w:rPr>
              <w:t>(118</w:t>
            </w:r>
          </w:p>
        </w:tc>
        <w:tc>
          <w:tcPr>
            <w:tcW w:w="133" w:type="dxa"/>
            <w:tcBorders/>
            <w:shd w:fill="CCEEFF" w:val="clear"/>
            <w:vAlign w:val="center"/>
          </w:tcPr>
          <w:p>
            <w:pPr>
              <w:pStyle w:val="TableContents"/>
              <w:bidi w:val="0"/>
              <w:spacing w:before="0" w:after="283"/>
              <w:jc w:val="left"/>
              <w:rPr>
                <w:b/>
              </w:rPr>
            </w:pPr>
            <w:r>
              <w:rPr>
                <w:b/>
              </w:rPr>
              <w:t>)</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b/>
              </w:rPr>
            </w:pPr>
            <w:r>
              <w:rPr>
                <w:b/>
              </w:rPr>
              <w:t>(3,548</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b/>
              </w:rPr>
            </w:pPr>
            <w:r>
              <w:rPr>
                <w:b/>
              </w:rPr>
              <w:t>3,435</w:t>
            </w:r>
          </w:p>
        </w:tc>
        <w:tc>
          <w:tcPr>
            <w:tcW w:w="173" w:type="dxa"/>
            <w:tcBorders/>
            <w:shd w:fill="CCEEFF" w:val="clear"/>
            <w:vAlign w:val="center"/>
          </w:tcPr>
          <w:p>
            <w:pPr>
              <w:pStyle w:val="TableContents"/>
              <w:bidi w:val="0"/>
              <w:spacing w:before="0" w:after="283"/>
              <w:jc w:val="left"/>
              <w:rPr/>
            </w:pPr>
            <w:r>
              <w:rPr/>
              <w:t> </w:t>
            </w:r>
          </w:p>
        </w:tc>
      </w:tr>
      <w:tr>
        <w:trPr/>
        <w:tc>
          <w:tcPr>
            <w:tcW w:w="6730" w:type="dxa"/>
            <w:tcBorders/>
            <w:vAlign w:val="center"/>
          </w:tcPr>
          <w:p>
            <w:pPr>
              <w:pStyle w:val="TableContents"/>
              <w:bidi w:val="0"/>
              <w:spacing w:before="0" w:after="283"/>
              <w:jc w:val="left"/>
              <w:rPr>
                <w:b/>
              </w:rPr>
            </w:pPr>
            <w:r>
              <w:rPr>
                <w:b/>
              </w:rPr>
              <w:t>Adjusted basic and diluted net loss per share (in each dollar, non-GAAP)</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b/>
              </w:rPr>
            </w:pPr>
            <w:r>
              <w:rPr>
                <w:b/>
              </w:rPr>
              <w:t>$</w:t>
            </w:r>
          </w:p>
        </w:tc>
        <w:tc>
          <w:tcPr>
            <w:tcW w:w="844" w:type="dxa"/>
            <w:tcBorders/>
            <w:vAlign w:val="center"/>
          </w:tcPr>
          <w:p>
            <w:pPr>
              <w:pStyle w:val="TableContents"/>
              <w:bidi w:val="0"/>
              <w:spacing w:before="0" w:after="283"/>
              <w:jc w:val="right"/>
              <w:rPr>
                <w:b/>
              </w:rPr>
            </w:pPr>
            <w:r>
              <w:rPr>
                <w:b/>
              </w:rPr>
              <w:t>0.00</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b/>
              </w:rPr>
            </w:pPr>
            <w:r>
              <w:rPr>
                <w:b/>
              </w:rPr>
              <w:t>$</w:t>
            </w:r>
          </w:p>
        </w:tc>
        <w:tc>
          <w:tcPr>
            <w:tcW w:w="715" w:type="dxa"/>
            <w:tcBorders/>
            <w:vAlign w:val="center"/>
          </w:tcPr>
          <w:p>
            <w:pPr>
              <w:pStyle w:val="TableContents"/>
              <w:bidi w:val="0"/>
              <w:spacing w:before="0" w:after="283"/>
              <w:jc w:val="right"/>
              <w:rPr>
                <w:b/>
              </w:rPr>
            </w:pPr>
            <w:r>
              <w:rPr>
                <w:b/>
              </w:rPr>
              <w:t>(0.04</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b/>
              </w:rPr>
            </w:pPr>
            <w:r>
              <w:rPr>
                <w:b/>
              </w:rPr>
              <w:t>$</w:t>
            </w:r>
          </w:p>
        </w:tc>
        <w:tc>
          <w:tcPr>
            <w:tcW w:w="673" w:type="dxa"/>
            <w:tcBorders/>
            <w:vAlign w:val="center"/>
          </w:tcPr>
          <w:p>
            <w:pPr>
              <w:pStyle w:val="TableContents"/>
              <w:bidi w:val="0"/>
              <w:spacing w:before="0" w:after="283"/>
              <w:jc w:val="right"/>
              <w:rPr>
                <w:b/>
              </w:rPr>
            </w:pPr>
            <w:r>
              <w:rPr>
                <w:b/>
              </w:rPr>
              <w:t>(0.04</w:t>
            </w:r>
          </w:p>
        </w:tc>
        <w:tc>
          <w:tcPr>
            <w:tcW w:w="173"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loss attributable to common stockholders and adjusted basic and diluted net loss per share are non-GAAP financial measures. Refer to the Non-GAAP Financial Measures section below for a reconciliation of our financial results reported in accordance with GAAP to non-GAAP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net, for the three months ended December 31, 2025 was $1.14 million, a decrease of $110 thousand, or approximately 8.8%, compared to $1.25 million for the three months ended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decrease was primarily due to a reduction in one-time product sales and other revenue, partially offset by significant growth in our recurring revenue streams, including leasing, services, and RaaS.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breakdown of revenue is as follows:</w:t>
      </w:r>
    </w:p>
    <w:p>
      <w:pPr>
        <w:pStyle w:val="TextBody"/>
        <w:bidi w:val="0"/>
        <w:spacing w:before="0" w:after="0"/>
        <w:ind w:left="360" w:right="0" w:hanging="0"/>
        <w:jc w:val="both"/>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2255"/>
        <w:gridCol w:w="90"/>
        <w:gridCol w:w="209"/>
        <w:gridCol w:w="725"/>
        <w:gridCol w:w="110"/>
        <w:gridCol w:w="110"/>
        <w:gridCol w:w="209"/>
        <w:gridCol w:w="725"/>
        <w:gridCol w:w="90"/>
        <w:gridCol w:w="90"/>
        <w:gridCol w:w="219"/>
        <w:gridCol w:w="626"/>
        <w:gridCol w:w="170"/>
      </w:tblGrid>
      <w:tr>
        <w:trPr/>
        <w:tc>
          <w:tcPr>
            <w:tcW w:w="2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 ended</w:t>
              <w:b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left"/>
              <w:rPr/>
            </w:pPr>
            <w:r>
              <w:rPr/>
              <w:t>Product Sale</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357</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538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626" w:type="dxa"/>
            <w:tcBorders/>
            <w:shd w:fill="CCEEFF" w:val="clear"/>
            <w:vAlign w:val="center"/>
          </w:tcPr>
          <w:p>
            <w:pPr>
              <w:pStyle w:val="TableContents"/>
              <w:bidi w:val="0"/>
              <w:spacing w:before="0" w:after="283"/>
              <w:jc w:val="right"/>
              <w:rPr/>
            </w:pPr>
            <w:r>
              <w:rPr/>
              <w:t>(181</w:t>
            </w:r>
          </w:p>
        </w:tc>
        <w:tc>
          <w:tcPr>
            <w:tcW w:w="170" w:type="dxa"/>
            <w:tcBorders/>
            <w:shd w:fill="CCEEFF" w:val="clear"/>
            <w:vAlign w:val="center"/>
          </w:tcPr>
          <w:p>
            <w:pPr>
              <w:pStyle w:val="TableContents"/>
              <w:bidi w:val="0"/>
              <w:spacing w:before="0" w:after="283"/>
              <w:jc w:val="left"/>
              <w:rPr/>
            </w:pPr>
            <w:r>
              <w:rPr/>
              <w:t>)</w:t>
            </w:r>
          </w:p>
        </w:tc>
      </w:tr>
      <w:tr>
        <w:trPr/>
        <w:tc>
          <w:tcPr>
            <w:tcW w:w="2255" w:type="dxa"/>
            <w:tcBorders/>
            <w:vAlign w:val="center"/>
          </w:tcPr>
          <w:p>
            <w:pPr>
              <w:pStyle w:val="TableContents"/>
              <w:bidi w:val="0"/>
              <w:spacing w:before="0" w:after="283"/>
              <w:jc w:val="left"/>
              <w:rPr/>
            </w:pPr>
            <w:r>
              <w:rPr/>
              <w:t>Leasing/Service/Rental</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405</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133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pPr>
            <w:r>
              <w:rPr/>
              <w:t>272</w:t>
            </w:r>
          </w:p>
        </w:tc>
        <w:tc>
          <w:tcPr>
            <w:tcW w:w="170"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left"/>
              <w:rPr/>
            </w:pPr>
            <w:r>
              <w:rPr/>
              <w:t>RaaS</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319</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243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76</w:t>
            </w:r>
          </w:p>
        </w:tc>
        <w:tc>
          <w:tcPr>
            <w:tcW w:w="170" w:type="dxa"/>
            <w:tcBorders/>
            <w:shd w:fill="CCEEFF" w:val="clear"/>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209"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pPr>
            <w:r>
              <w:rPr/>
              <w:t>66</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209"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pPr>
            <w:r>
              <w:rPr/>
              <w:t>343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626" w:type="dxa"/>
            <w:tcBorders>
              <w:bottom w:val="single" w:sz="12" w:space="0" w:color="000000"/>
            </w:tcBorders>
            <w:tcMar>
              <w:bottom w:w="28" w:type="dxa"/>
            </w:tcMar>
            <w:vAlign w:val="center"/>
          </w:tcPr>
          <w:p>
            <w:pPr>
              <w:pStyle w:val="TableContents"/>
              <w:bidi w:val="0"/>
              <w:spacing w:before="0" w:after="283"/>
              <w:jc w:val="right"/>
              <w:rPr/>
            </w:pPr>
            <w:r>
              <w:rPr/>
              <w:t>(277</w:t>
            </w:r>
          </w:p>
        </w:tc>
        <w:tc>
          <w:tcPr>
            <w:tcW w:w="170" w:type="dxa"/>
            <w:tcBorders/>
            <w:vAlign w:val="center"/>
          </w:tcPr>
          <w:p>
            <w:pPr>
              <w:pStyle w:val="TableContents"/>
              <w:bidi w:val="0"/>
              <w:spacing w:before="0" w:after="283"/>
              <w:jc w:val="left"/>
              <w:rPr/>
            </w:pPr>
            <w:r>
              <w:rPr/>
              <w:t>)</w:t>
            </w:r>
          </w:p>
        </w:tc>
      </w:tr>
      <w:tr>
        <w:trPr/>
        <w:tc>
          <w:tcPr>
            <w:tcW w:w="225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pPr>
            <w:r>
              <w:rPr/>
              <w:t>1,147</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pPr>
            <w:r>
              <w:rPr/>
              <w:t>1,257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6" w:type="dxa"/>
            <w:tcBorders>
              <w:bottom w:val="double" w:sz="10" w:space="0" w:color="000000"/>
            </w:tcBorders>
            <w:shd w:fill="CCEEFF" w:val="clear"/>
            <w:tcMar>
              <w:bottom w:w="28" w:type="dxa"/>
            </w:tcMar>
            <w:vAlign w:val="center"/>
          </w:tcPr>
          <w:p>
            <w:pPr>
              <w:pStyle w:val="TableContents"/>
              <w:bidi w:val="0"/>
              <w:spacing w:before="0" w:after="283"/>
              <w:jc w:val="right"/>
              <w:rPr/>
            </w:pPr>
            <w:r>
              <w:rPr/>
              <w:t>(110</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Model Transition and Revenue Recognition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generated revenue primarily through Product Revenue (outright hardware sales), resulting in immediate revenue and immediate Cost of Revenue recognition.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2025, we fundamentally shifted our approach to emphasize long-term relationships and recurring revenue through leasing and service arrangements.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strategic change significantly impacts the financial statements:</w:t>
      </w:r>
    </w:p>
    <w:p>
      <w:pPr>
        <w:pStyle w:val="TextBody"/>
        <w:bidi w:val="0"/>
        <w:spacing w:before="0" w:after="0"/>
        <w:ind w:left="360" w:right="0" w:hanging="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105"/>
        <w:gridCol w:w="200"/>
        <w:gridCol w:w="38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1.</w:t>
            </w:r>
          </w:p>
        </w:tc>
        <w:tc>
          <w:tcPr>
            <w:tcW w:w="3830" w:type="dxa"/>
            <w:tcBorders/>
            <w:vAlign w:val="center"/>
          </w:tcPr>
          <w:p>
            <w:pPr>
              <w:pStyle w:val="TableContents"/>
              <w:bidi w:val="0"/>
              <w:spacing w:before="0" w:after="283"/>
              <w:jc w:val="both"/>
              <w:rPr>
                <w:sz w:val="20"/>
              </w:rPr>
            </w:pPr>
            <w:r>
              <w:rPr>
                <w:sz w:val="20"/>
              </w:rPr>
              <w:t>Revenue: Upfront product revenue is reduced.</w:t>
            </w:r>
          </w:p>
        </w:tc>
      </w:tr>
    </w:tbl>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105"/>
        <w:gridCol w:w="200"/>
        <w:gridCol w:w="96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2.</w:t>
            </w:r>
          </w:p>
        </w:tc>
        <w:tc>
          <w:tcPr>
            <w:tcW w:w="9605" w:type="dxa"/>
            <w:tcBorders/>
            <w:vAlign w:val="center"/>
          </w:tcPr>
          <w:p>
            <w:pPr>
              <w:pStyle w:val="TableContents"/>
              <w:bidi w:val="0"/>
              <w:spacing w:before="0" w:after="283"/>
              <w:jc w:val="both"/>
              <w:rPr>
                <w:sz w:val="20"/>
              </w:rPr>
            </w:pPr>
            <w:r>
              <w:rPr>
                <w:sz w:val="20"/>
              </w:rPr>
              <w:t>Assets: The cost of leased robots is capitalized as a long-term asset (Assets held for Lease), not immediately expensed.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1"/>
        <w:gridCol w:w="9919"/>
      </w:tblGrid>
      <w:tr>
        <w:trPr/>
        <w:tc>
          <w:tcPr>
            <w:tcW w:w="10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20"/>
              </w:rPr>
            </w:pPr>
            <w:r>
              <w:rPr>
                <w:sz w:val="20"/>
              </w:rPr>
              <w:t>3.</w:t>
            </w:r>
          </w:p>
        </w:tc>
        <w:tc>
          <w:tcPr>
            <w:tcW w:w="9919" w:type="dxa"/>
            <w:tcBorders/>
            <w:vAlign w:val="center"/>
          </w:tcPr>
          <w:p>
            <w:pPr>
              <w:pStyle w:val="TableContents"/>
              <w:bidi w:val="0"/>
              <w:spacing w:before="0" w:after="283"/>
              <w:jc w:val="both"/>
              <w:rPr>
                <w:sz w:val="20"/>
              </w:rPr>
            </w:pPr>
            <w:r>
              <w:rPr>
                <w:sz w:val="20"/>
              </w:rPr>
              <w:t>Profitability: This results in a materially lower Cost of Revenue and an expanded Gross Margin, as the cost is recognized over the lease term via depreciation instead of immediate Cost of Goods Sold.</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Product Sale revenue for the three months ended December 31, 2025, compared to the same period in 2024, was directly attributable to our strategic focus on reducing one-time hardware transactions in favor of recurring contracts. This activity aligns with our long-term revenue strategy.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long-term focus remains on expanding recurring revenue through service, rental, and leasing arrangements. The increases in Leasing, Service, and RaaS revenue during the three months ended December 31, 2025, were driven by the successful deployment of robots under these recurring models. Underlying adoption of these recurring arrangements continues to increase, validating our transition away from capital-intensive direct sales.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Detailed Revenue Streams and Recognition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is classified into four primary streams: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Product Revenue</w:t>
      </w:r>
    </w:p>
    <w:p>
      <w:pPr>
        <w:pStyle w:val="TextBody"/>
        <w:bidi w:val="0"/>
        <w:spacing w:before="0" w:after="0"/>
        <w:ind w:left="360" w:right="0" w:hanging="0"/>
        <w:jc w:val="both"/>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105"/>
        <w:gridCol w:w="200"/>
        <w:gridCol w:w="83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both"/>
              <w:rPr>
                <w:sz w:val="20"/>
              </w:rPr>
            </w:pPr>
            <w:r>
              <w:rPr>
                <w:sz w:val="20"/>
              </w:rPr>
              <w:t>Description: Revenue from traditional, outright sales of hardware where the customer takes ownership.</w:t>
            </w:r>
          </w:p>
        </w:tc>
      </w:tr>
    </w:tbl>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105"/>
        <w:gridCol w:w="200"/>
        <w:gridCol w:w="63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both"/>
              <w:rPr>
                <w:sz w:val="20"/>
              </w:rPr>
            </w:pPr>
            <w:r>
              <w:rPr>
                <w:sz w:val="20"/>
              </w:rPr>
              <w:t>Recognition: Recognized at a point in time (transfer of control, per ASC 606).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The decrease for the three months ended December 31, 2025, was driven by our strategic shift away from one-time hardware sales. We anticipate this mix will continue to stabilize at lower levels as we prioritize long-term recurring revenue models.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Leasing/Service/Rental Revenue</w:t>
      </w:r>
    </w:p>
    <w:p>
      <w:pPr>
        <w:pStyle w:val="TextBody"/>
        <w:bidi w:val="0"/>
        <w:spacing w:before="0" w:after="0"/>
        <w:ind w:left="360" w:right="0" w:hanging="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105"/>
        <w:gridCol w:w="200"/>
        <w:gridCol w:w="89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both"/>
              <w:rPr>
                <w:sz w:val="20"/>
              </w:rPr>
            </w:pPr>
            <w:r>
              <w:rPr>
                <w:sz w:val="20"/>
              </w:rPr>
              <w:t>Description: Revenue from short-term rentals, maintenance contracts, subscriptions, and installation services.</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105"/>
        <w:gridCol w:w="200"/>
        <w:gridCol w:w="69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both"/>
              <w:rPr>
                <w:sz w:val="20"/>
              </w:rPr>
            </w:pPr>
            <w:r>
              <w:rPr>
                <w:sz w:val="20"/>
              </w:rPr>
              <w:t>Recognition: Recognized over time or at a point in time, based on contract specifics.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Impact: This category experienced substantial growth, increasing to $405 thousand for the three months ended December 31, 2025. The increase was primarily attributable to the expansion of our event robot rental services, as we supported a higher volume of short-term deployments across promotional and commercial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RaaS Revenue</w:t>
      </w:r>
    </w:p>
    <w:p>
      <w:pPr>
        <w:pStyle w:val="TextBody"/>
        <w:bidi w:val="0"/>
        <w:spacing w:before="0" w:after="0"/>
        <w:ind w:left="360" w:right="0" w:hanging="0"/>
        <w:jc w:val="both"/>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105"/>
        <w:gridCol w:w="200"/>
        <w:gridCol w:w="66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both"/>
              <w:rPr>
                <w:sz w:val="20"/>
              </w:rPr>
            </w:pPr>
            <w:r>
              <w:rPr>
                <w:sz w:val="20"/>
              </w:rPr>
              <w:t>Description: Revenue from long-term operating agreements for the robotics fleet.</w:t>
            </w:r>
          </w:p>
        </w:tc>
      </w:tr>
    </w:tbl>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05"/>
        <w:gridCol w:w="200"/>
        <w:gridCol w:w="51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both"/>
              <w:rPr>
                <w:sz w:val="20"/>
              </w:rPr>
            </w:pPr>
            <w:r>
              <w:rPr>
                <w:sz w:val="20"/>
              </w:rPr>
              <w:t>Recognition: Recognized over the term of the lease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Impact: This stream increased to $319 thousand for the three months ended December 31, 2025, demonstrating accelerated adoption. As our primary long-term growth engine, RaaS continues to drive predictable, recurring revenue, central to our long-term value creation strategy.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AlphaMax (Cloutea)</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Description: Revenue generated from the AlphaMax subsidiary, which operates as a hospitality management company overseeing various cafes and restaurants.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Recognition: Recognized according to the performance obligations outlined in the specific management or operating contracts.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Impact: This segment contributed $66 thousand in total revenue for the three months ended December 31, 2025. This revenue is non-robotics related, and the decrease compared to the prior year period reflects fluctuations in the specific hospitality operations managed by this subsidiary.</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Clouffee and Tea Restaurant Brand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Clouffee and Tea is our first self-owned restaurant brand, designed to showcase our RaaS model directly to consumers. The concept seamlessly blends innovative robotic technology with a vibrant coffee and tea culture to create an engaging customer experience. We are currently in the process of opening a new store in the San Francisco Financial District, which is scheduled to officially open in the second quarter of fiscal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net, increased by $424 thousand, or approximately 344.7%, from $123 thousand for the three months ended December 31, 2024 to $547 thousand for the three months ended December 31, 2025. This increase was primarily driven by the expansion of our service and support infrastructure to support the growing RaaS fleet, as well as increased depreciation expenses associated with deployed assets.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Rental Assets: For the three months ended December 31, 2025, depreciation expense attributable to our RaaS fleet was approximately $47 thousand. We expect this non-cash expense to increase in future periods as our installed base of leased robots expands, creating a predictable cost structure that scales with recurring revenue. We continue to focus on optimizing our manufacturing and supply chain processes to maintain a competitive cost structure.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$534 thousand, or approximately 47.1%, to $600 thousand for the three months ended December 31, 2025, from $1,134 thousand for the three months ended December 31, 2024. Gross margin was 52.3% for the three months ended December 31, 2025, compared to 90.2% for the three months ended December 31, 2024.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variance in gross margin is primarily attributable to the structural difference in our operating model between the two fiscal periods:</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b/>
              </w:rPr>
              <w:t>Comparison to Prior Year Low Cost Base:</w:t>
            </w:r>
            <w:r>
              <w:rPr/>
              <w:t xml:space="preserve"> The gross margin in the first quarter of fiscal 2025 (ended December 31, 2024) was exceptionally high, reflecting a leaner cost structure with minimal fixed overhead. During that period, revenue was derived primarily from direct sales that did not require the extensive service, support, and fleet maintenance infrastructure we have since established.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b/>
              </w:rPr>
              <w:t>Current Period Infrastructure Investment:</w:t>
            </w:r>
            <w:r>
              <w:rPr/>
              <w:t xml:space="preserve"> In the current quarter (fiscal 2026), our Cost of Revenue includes significant upfront investments in the technical support and field service teams necessary to support our growing Robots-as-a-Service (RaaS) fleet. While these costs dampen margins in the near term, they are essential scalability investments that do not scale linearly with revenue.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gross margins to remain below the exceptional levels seen in the first quarter of fiscal 2025 as we continue to scale our RaaS operations. However, we anticipate margin stabilization and improvement over the long term as our recurring revenue base grows to absorb these expanded infrastructure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 decreased by $36 thousand, or approximately 7.4%, to $448 thousand for the three months ended December 31, 2025, from $484 thousand for the three months ended December 31, 2024. This slight decrease reflects our continued focus on optimizing development resources as we transition from initial hardware prototyping to refining our RaaS software platform and integration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(S&amp;M) expenses decreased $57 thousand, or approximately 23.3%, to $188 thousand for the three months ended December 31, 2025, from $245 thousand for the three months ended December 31, 2024. This decrease was primarily due to a strategic realignment of our marketing efforts toward targeted B2B outreach for our RaaS program, rather than broad-based brand awareness campaigns.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(G&amp;A) expenses increased substantially by $7.5 million, or approximately 173.60%, to $11.8 million   for the three months ended December 31, 2025, from $4.3 million for the three months ended December 31, 2024.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was primarily attributable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Stock-Based Compensation:</w:t>
            </w:r>
            <w:r>
              <w:rPr>
                <w:rFonts w:ascii="Times New Roman;Times;Serif" w:hAnsi="Times New Roman;Times;Serif"/>
                <w:b w:val="false"/>
                <w:i w:val="false"/>
                <w:caps w:val="false"/>
                <w:smallCaps w:val="false"/>
                <w:sz w:val="20"/>
              </w:rPr>
              <w:t xml:space="preserve"> We recognized approximately $6.8 million in stock-based compensation expense related to equity grants for employees, reflecting our commitment to retaining top talent and aligning employee incentives with shareholder value.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Professional Services:</w:t>
            </w:r>
            <w:r>
              <w:rPr>
                <w:rFonts w:ascii="Times New Roman;Times;Serif" w:hAnsi="Times New Roman;Times;Serif"/>
                <w:b w:val="false"/>
                <w:i w:val="false"/>
                <w:caps w:val="false"/>
                <w:smallCaps w:val="false"/>
                <w:sz w:val="20"/>
              </w:rPr>
              <w:t xml:space="preserve"> We incurred approximately $1.4 million in contract and consultant service fees, driven by increased requirements for legal, audit, and strategic consulting services associated with our status as a public company and our ongoing business transformation.</w:t>
            </w:r>
          </w:p>
        </w:tc>
      </w:tr>
    </w:tbl>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increased significantly by $3,068 thousand to $3,401 thousand for the three months ended December 31, 2025, from $333 thousand for the three months ended December 31, 2024. This increase was primarily driven by higher returns on our cash equivalents and short-term investment holdings, reflecting the effective management of our capital resources following recent 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 decreased from $4 thousand for the three months ended December 31, 2024 to $2 thousand for the three months ended December 31, 2025, primarily due to the repayment of outstanding interest-bearing debt during the fiscal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loss attributable to common stockholders and adjusted basic and diluted net loss per share are non-GAAP financial measures which exclude share-based compensation for employees from general and administrative expense. Share-based compensation is considered non-cash expenses. We believe these non-GAAP measures aid investors by providing additional insight into our financial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our financial results reported in accordance with GAAP to non-GAAP financial results:</w:t>
      </w:r>
    </w:p>
    <w:p>
      <w:pPr>
        <w:pStyle w:val="TextBody"/>
        <w:bidi w:val="0"/>
        <w:spacing w:before="0" w:after="0"/>
        <w:ind w:left="0" w:right="0" w:hanging="0"/>
        <w:jc w:val="both"/>
        <w:rPr>
          <w:caps w:val="false"/>
          <w:smallCaps w:val="false"/>
        </w:rPr>
      </w:pPr>
      <w:r>
        <w:rPr>
          <w:caps w:val="false"/>
          <w:smallCaps w:val="false"/>
        </w:rPr>
        <w:t> </w:t>
      </w:r>
    </w:p>
    <w:tbl>
      <w:tblPr>
        <w:tblW w:w="10160" w:type="dxa"/>
        <w:jc w:val="left"/>
        <w:tblInd w:w="0" w:type="dxa"/>
        <w:tblLayout w:type="fixed"/>
        <w:tblCellMar>
          <w:top w:w="0" w:type="dxa"/>
          <w:left w:w="0" w:type="dxa"/>
          <w:bottom w:w="0" w:type="dxa"/>
          <w:right w:w="0" w:type="dxa"/>
        </w:tblCellMar>
      </w:tblPr>
      <w:tblGrid>
        <w:gridCol w:w="6965"/>
        <w:gridCol w:w="90"/>
        <w:gridCol w:w="170"/>
        <w:gridCol w:w="1250"/>
        <w:gridCol w:w="125"/>
        <w:gridCol w:w="90"/>
        <w:gridCol w:w="170"/>
        <w:gridCol w:w="1130"/>
        <w:gridCol w:w="170"/>
      </w:tblGrid>
      <w:tr>
        <w:trPr/>
        <w:tc>
          <w:tcPr>
            <w:tcW w:w="6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170"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pPr>
            <w:r>
              <w:rPr/>
              <w:t>Numerators:</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6965" w:type="dxa"/>
            <w:tcBorders/>
            <w:shd w:fill="CCEEFF" w:val="clear"/>
            <w:vAlign w:val="center"/>
          </w:tcPr>
          <w:p>
            <w:pPr>
              <w:pStyle w:val="TableContents"/>
              <w:bidi w:val="0"/>
              <w:spacing w:before="0" w:after="283"/>
              <w:jc w:val="left"/>
              <w:rPr/>
            </w:pPr>
            <w:r>
              <w:rPr/>
              <w:t>Net loss attributable to common stockholders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(8,402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(3,548</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6965" w:type="dxa"/>
            <w:tcBorders/>
            <w:vAlign w:val="center"/>
          </w:tcPr>
          <w:p>
            <w:pPr>
              <w:pStyle w:val="TableContents"/>
              <w:bidi w:val="0"/>
              <w:spacing w:before="0" w:after="283"/>
              <w:jc w:val="left"/>
              <w:rPr/>
            </w:pPr>
            <w:r>
              <w:rPr/>
              <w:t>Stock based compensation expense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8,284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6965" w:type="dxa"/>
            <w:tcBorders/>
            <w:shd w:fill="CCEEFF" w:val="clear"/>
            <w:vAlign w:val="center"/>
          </w:tcPr>
          <w:p>
            <w:pPr>
              <w:pStyle w:val="TableContents"/>
              <w:bidi w:val="0"/>
              <w:spacing w:before="0" w:after="283"/>
              <w:jc w:val="left"/>
              <w:rPr/>
            </w:pPr>
            <w:r>
              <w:rPr/>
              <w:t>Adjusted net loss attributable to common stockholders (non-GAAP)</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(3,548</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6965" w:type="dxa"/>
            <w:tcBorders/>
            <w:vAlign w:val="center"/>
          </w:tcPr>
          <w:p>
            <w:pPr>
              <w:pStyle w:val="TableContents"/>
              <w:bidi w:val="0"/>
              <w:spacing w:before="0" w:after="283"/>
              <w:jc w:val="left"/>
              <w:rPr/>
            </w:pPr>
            <w:r>
              <w:rPr/>
              <w:t>Denominator: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6965" w:type="dxa"/>
            <w:tcBorders/>
            <w:shd w:fill="CCEEFF" w:val="clear"/>
            <w:vAlign w:val="center"/>
          </w:tcPr>
          <w:p>
            <w:pPr>
              <w:pStyle w:val="TableContents"/>
              <w:bidi w:val="0"/>
              <w:spacing w:before="0" w:after="283"/>
              <w:jc w:val="left"/>
              <w:rPr/>
            </w:pPr>
            <w:r>
              <w:rPr/>
              <w:t>Weighted Average ordinary shares used in computing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197,731,671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95,785,054</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965" w:type="dxa"/>
            <w:tcBorders/>
            <w:vAlign w:val="center"/>
          </w:tcPr>
          <w:p>
            <w:pPr>
              <w:pStyle w:val="TableContents"/>
              <w:bidi w:val="0"/>
              <w:spacing w:before="0" w:after="283"/>
              <w:jc w:val="left"/>
              <w:rPr/>
            </w:pPr>
            <w:r>
              <w:rPr/>
              <w:t>Basic and diluted net loss per share (in each dollar)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(0.04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(0.04</w:t>
            </w:r>
          </w:p>
        </w:tc>
        <w:tc>
          <w:tcPr>
            <w:tcW w:w="170" w:type="dxa"/>
            <w:tcBorders/>
            <w:vAlign w:val="center"/>
          </w:tcPr>
          <w:p>
            <w:pPr>
              <w:pStyle w:val="TableContents"/>
              <w:bidi w:val="0"/>
              <w:spacing w:before="0" w:after="283"/>
              <w:ind w:left="0" w:right="0" w:hanging="180"/>
              <w:jc w:val="left"/>
              <w:rPr/>
            </w:pPr>
            <w:r>
              <w:rPr/>
              <w:t>)</w:t>
            </w:r>
          </w:p>
        </w:tc>
      </w:tr>
      <w:tr>
        <w:trPr/>
        <w:tc>
          <w:tcPr>
            <w:tcW w:w="6965" w:type="dxa"/>
            <w:tcBorders/>
            <w:shd w:fill="CCEEFF" w:val="clear"/>
            <w:vAlign w:val="center"/>
          </w:tcPr>
          <w:p>
            <w:pPr>
              <w:pStyle w:val="TableContents"/>
              <w:bidi w:val="0"/>
              <w:spacing w:before="0" w:after="283"/>
              <w:jc w:val="left"/>
              <w:rPr/>
            </w:pPr>
            <w:r>
              <w:rPr/>
              <w:t>Adjusted basic and diluted net loss per share (in each dollar, non-GAAP)</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(0.04</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are cash and cash equivalents, which consist of cash on hand and short-term investments that are readily convertible to cash. As of December 31, 2025, our cash and cash equivalents totaled $271.8 million. This represents a significant increase from $19.8 million at the end of December 31, 2024. The substantial increase in our cash position is primarily attributable to the net proceeds received from issuance of shares of Class B common stock and from the exercise and issuance of warrants. These proceeds significantly strengthened our balance sheet and provided us with financial flexibility to invest in our growth initiatives, including expanding our R&amp;D team, and purchase   of property and equipment to support our expanding operations. This increase was partially offset by cash used in operating activities, primarily due to our net loss and investments in working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2025, we issued an aggregate of 15,156,685 shares of Class B common stock through our ATM offering program for aggregate proceeds of $69.1 million, and 4,485,946 shares of Class B common stock pursuant to the exercise of investor warrants for aggregate proceeds of $9.2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three months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 information (in thousands) for the three months ended December 31, 2025 and 2024, together with the dollar change in those items from period to period:</w:t>
      </w:r>
    </w:p>
    <w:p>
      <w:pPr>
        <w:pStyle w:val="TextBody"/>
        <w:bidi w:val="0"/>
        <w:spacing w:before="0" w:after="0"/>
        <w:ind w:left="0" w:right="0" w:hanging="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095"/>
        <w:gridCol w:w="90"/>
        <w:gridCol w:w="192"/>
        <w:gridCol w:w="801"/>
        <w:gridCol w:w="141"/>
        <w:gridCol w:w="101"/>
        <w:gridCol w:w="192"/>
        <w:gridCol w:w="751"/>
        <w:gridCol w:w="125"/>
        <w:gridCol w:w="90"/>
        <w:gridCol w:w="95"/>
        <w:gridCol w:w="750"/>
        <w:gridCol w:w="135"/>
      </w:tblGrid>
      <w:tr>
        <w:trPr/>
        <w:tc>
          <w:tcPr>
            <w:tcW w:w="3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3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Net Cash provided by (used in):</w:t>
            </w:r>
          </w:p>
        </w:tc>
        <w:tc>
          <w:tcPr>
            <w:tcW w:w="90" w:type="dxa"/>
            <w:tcBorders/>
            <w:vAlign w:val="center"/>
          </w:tcPr>
          <w:p>
            <w:pPr>
              <w:pStyle w:val="TableContents"/>
              <w:bidi w:val="0"/>
              <w:spacing w:before="0" w:after="283"/>
              <w:jc w:val="left"/>
              <w:rPr/>
            </w:pPr>
            <w:r>
              <w:rPr/>
              <w:t> </w:t>
            </w:r>
          </w:p>
        </w:tc>
        <w:tc>
          <w:tcPr>
            <w:tcW w:w="993" w:type="dxa"/>
            <w:gridSpan w:val="2"/>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43"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Operating activities</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(1,605</w:t>
            </w:r>
          </w:p>
        </w:tc>
        <w:tc>
          <w:tcPr>
            <w:tcW w:w="141"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(3,599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1,994</w:t>
            </w:r>
          </w:p>
        </w:tc>
        <w:tc>
          <w:tcPr>
            <w:tcW w:w="13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Investing activities</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801" w:type="dxa"/>
            <w:tcBorders/>
            <w:vAlign w:val="center"/>
          </w:tcPr>
          <w:p>
            <w:pPr>
              <w:pStyle w:val="TableContents"/>
              <w:bidi w:val="0"/>
              <w:spacing w:before="0" w:after="283"/>
              <w:jc w:val="right"/>
              <w:rPr/>
            </w:pPr>
            <w:r>
              <w:rPr/>
              <w:t>1,540</w:t>
            </w:r>
          </w:p>
        </w:tc>
        <w:tc>
          <w:tcPr>
            <w:tcW w:w="14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(380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1,920</w:t>
            </w:r>
          </w:p>
        </w:tc>
        <w:tc>
          <w:tcPr>
            <w:tcW w:w="13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Financing Activities</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pPr>
            <w:r>
              <w:rPr/>
              <w:t>78,247</w:t>
            </w:r>
          </w:p>
        </w:tc>
        <w:tc>
          <w:tcPr>
            <w:tcW w:w="14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1" w:type="dxa"/>
            <w:tcBorders>
              <w:bottom w:val="single" w:sz="12" w:space="0" w:color="000000"/>
            </w:tcBorders>
            <w:shd w:fill="CCEEFF" w:val="clear"/>
            <w:tcMar>
              <w:bottom w:w="28" w:type="dxa"/>
            </w:tcMar>
            <w:vAlign w:val="center"/>
          </w:tcPr>
          <w:p>
            <w:pPr>
              <w:pStyle w:val="TableContents"/>
              <w:bidi w:val="0"/>
              <w:spacing w:before="0" w:after="283"/>
              <w:jc w:val="right"/>
              <w:rPr/>
            </w:pPr>
            <w:r>
              <w:rPr/>
              <w:t>9,240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pPr>
            <w:r>
              <w:rPr/>
              <w:t>69,007</w:t>
            </w:r>
          </w:p>
        </w:tc>
        <w:tc>
          <w:tcPr>
            <w:tcW w:w="13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Net increase (decrease) in cash</w:t>
            </w:r>
          </w:p>
        </w:tc>
        <w:tc>
          <w:tcPr>
            <w:tcW w:w="90" w:type="dxa"/>
            <w:tcBorders/>
            <w:vAlign w:val="center"/>
          </w:tcPr>
          <w:p>
            <w:pPr>
              <w:pStyle w:val="TableContents"/>
              <w:bidi w:val="0"/>
              <w:spacing w:before="0" w:after="283"/>
              <w:jc w:val="left"/>
              <w:rPr/>
            </w:pPr>
            <w:r>
              <w:rPr/>
              <w:t> </w:t>
            </w:r>
          </w:p>
        </w:tc>
        <w:tc>
          <w:tcPr>
            <w:tcW w:w="192" w:type="dxa"/>
            <w:tcBorders>
              <w:bottom w:val="double" w:sz="10" w:space="0" w:color="000000"/>
            </w:tcBorders>
            <w:tcMar>
              <w:bottom w:w="28" w:type="dxa"/>
            </w:tcMar>
            <w:vAlign w:val="center"/>
          </w:tcPr>
          <w:p>
            <w:pPr>
              <w:pStyle w:val="TableContents"/>
              <w:bidi w:val="0"/>
              <w:spacing w:before="0" w:after="283"/>
              <w:jc w:val="left"/>
              <w:rPr/>
            </w:pPr>
            <w:r>
              <w:rPr/>
              <w:t>$</w:t>
            </w:r>
          </w:p>
        </w:tc>
        <w:tc>
          <w:tcPr>
            <w:tcW w:w="801" w:type="dxa"/>
            <w:tcBorders>
              <w:bottom w:val="double" w:sz="10" w:space="0" w:color="000000"/>
            </w:tcBorders>
            <w:tcMar>
              <w:bottom w:w="28" w:type="dxa"/>
            </w:tcMar>
            <w:vAlign w:val="center"/>
          </w:tcPr>
          <w:p>
            <w:pPr>
              <w:pStyle w:val="TableContents"/>
              <w:bidi w:val="0"/>
              <w:spacing w:before="0" w:after="283"/>
              <w:jc w:val="right"/>
              <w:rPr/>
            </w:pPr>
            <w:r>
              <w:rPr/>
              <w:t>78,182</w:t>
            </w:r>
          </w:p>
        </w:tc>
        <w:tc>
          <w:tcPr>
            <w:tcW w:w="14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92" w:type="dxa"/>
            <w:tcBorders>
              <w:bottom w:val="double" w:sz="10" w:space="0" w:color="000000"/>
            </w:tcBorders>
            <w:tcMar>
              <w:bottom w:w="28" w:type="dxa"/>
            </w:tcMar>
            <w:vAlign w:val="center"/>
          </w:tcPr>
          <w:p>
            <w:pPr>
              <w:pStyle w:val="TableContents"/>
              <w:bidi w:val="0"/>
              <w:spacing w:before="0" w:after="283"/>
              <w:jc w:val="left"/>
              <w:rPr/>
            </w:pPr>
            <w:r>
              <w:rPr/>
              <w:t>$</w:t>
            </w:r>
          </w:p>
        </w:tc>
        <w:tc>
          <w:tcPr>
            <w:tcW w:w="751" w:type="dxa"/>
            <w:tcBorders>
              <w:bottom w:val="double" w:sz="10" w:space="0" w:color="000000"/>
            </w:tcBorders>
            <w:tcMar>
              <w:bottom w:w="28" w:type="dxa"/>
            </w:tcMar>
            <w:vAlign w:val="center"/>
          </w:tcPr>
          <w:p>
            <w:pPr>
              <w:pStyle w:val="TableContents"/>
              <w:bidi w:val="0"/>
              <w:spacing w:before="0" w:after="283"/>
              <w:jc w:val="right"/>
              <w:rPr/>
            </w:pPr>
            <w:r>
              <w:rPr/>
              <w:t>5,261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bottom w:val="double" w:sz="10" w:space="0" w:color="000000"/>
            </w:tcBorders>
            <w:tcMar>
              <w:bottom w:w="28" w:type="dxa"/>
            </w:tcMar>
            <w:vAlign w:val="center"/>
          </w:tcPr>
          <w:p>
            <w:pPr>
              <w:pStyle w:val="TableContents"/>
              <w:bidi w:val="0"/>
              <w:spacing w:before="0" w:after="283"/>
              <w:jc w:val="left"/>
              <w:rPr/>
            </w:pPr>
            <w:r>
              <w:rPr/>
              <w:t> </w:t>
            </w:r>
          </w:p>
        </w:tc>
        <w:tc>
          <w:tcPr>
            <w:tcW w:w="750" w:type="dxa"/>
            <w:tcBorders>
              <w:bottom w:val="double" w:sz="10" w:space="0" w:color="000000"/>
            </w:tcBorders>
            <w:tcMar>
              <w:bottom w:w="28" w:type="dxa"/>
            </w:tcMar>
            <w:vAlign w:val="center"/>
          </w:tcPr>
          <w:p>
            <w:pPr>
              <w:pStyle w:val="TableContents"/>
              <w:bidi w:val="0"/>
              <w:spacing w:before="0" w:after="283"/>
              <w:jc w:val="right"/>
              <w:rPr/>
            </w:pPr>
            <w:r>
              <w:rPr/>
              <w:t>72,921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three months ended   December 31, 2025 was $1,605 thousand, primarily driven by a net loss of $8,402 thousand, significantly offset by non-cash charges of $8,637 thousand and a net change in operating assets and liabilities of $1,840 thousand. Non-cash charges primarily included $8,284 thousand stock based compensation, and $353 thousand of depreciation and amortization expense. The cash flow impact from changes in net operating assets and liabilities was mainly driven by a decrease in accrued expenses and other payable of $1,222 thousand, inventory of $498 thousand, and accounts payable of $265 thousand, which was partially offset by decreases in right-of-use assets of $124 thousand and increase in deferred revenue of $110 thousand.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three months ended December 31, 2024 was $3,599 thousand, primarily due to a net loss of $3,569 thousand   and a decrease of $30 thousand in net operating assets and liabilities. The cash flow impact from changes in net operating assets and liabilities was primarily driven by decrease in accounts receivable of $755 thousand and inventory of $248 thousand, partially offset by increase in accounts payable of $380 thousand.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$1,540 thousand for the three months ended December 31, 2025, primarily driven by $2.1 million on proceeds from maturities and sales of short-term investments, partially offset by $454 thousand on purchase of short-term investment, and $71 thousand on purchase property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for investing activities was $380 thousand for the three months ended December 31, 2024, primarily due to $175 thousand on purchase of long-term investments and $127 thousand on 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totaled $78.2 million for the three months ended December 31, 2025, mainly due to $69.1 million from issuance of ordinary shares and $9.2 million from proceeds from warrants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totaled $9.2 million for the year ended December 31, 2024. We received $9.2 million from issuance of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under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in this report, we are not aware of any trends, uncertainties, demands, commitments, or events that are reasonably likely to have a material effect on our net revenues, income from continuing operations, profitability, liquidity or capital resources, or that would cause reported financial information not necessarily to be indicative of future operating results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Seasonality does not materially affect our business or the results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 Not Yet Adopted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to our audited financial statements included elsewhere in this report for more information.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accounting principles generally accepted in the United States (“GAAP”) requires management to make estimates and assumptions that affect the reported amounts of assets and liabilities at the dates of the financial statements and the reported amounts of revenues and expenses during the reporting periods. Actual results could differ from those estimates. Management bases its estimates on historical experience, market and other conditions, and various other assumptions it believes to be reasonable. See Note 2 to our audited financial statements included elsewhere in this Report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new or revised accounting standards until those standards would otherwise apply to private companies. We have elected to avail ourselves of this extended transition period.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as long as we remain an “emerging growth company” under the recently enacted JOBS Act, we will, among other things: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be exempt from the provisions of Section 404(b) of the Sarbanes-Oxley Act, which requires that our independent registered public accounting firm provide an attestation report on the effectiveness of our internal controls over financial reporting;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be permitted to omit the detailed compensation discussion and analysis from proxy statements and reports filed under the Exchange Act and instead provide a reduced level of disclosure concerning executive compensation;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be exempt from any rules that may be adopted by the Public Company Accounting Oversight Board requiring mandatory audit firm rotation or a supplement to the auditor’s report on the financial statements.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still evaluating the JOBS Act, we currently intend to take advantage of some or all of the reduced regulatory and reporting requirements that will be available to us so long as we qualify as an “emerging growth company,” including the extension of time to comply with new or revised financial accounting standards available under Section 102(b) of the JOBS Act. Among other things, this means that our independent registered public accounting firm will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As a result, investor confidence in our company and the market price of our common stock may be materially and adversely affected.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k_010"/>
      <w:bookmarkEnd w:id="11"/>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for smaller reporting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k_011"/>
      <w:bookmarkEnd w:id="12"/>
      <w:r>
        <w:rPr>
          <w:rFonts w:ascii="Times New Roman;Times;Serif" w:hAnsi="Times New Roman;Times;Serif"/>
          <w:b/>
          <w:i w:val="false"/>
          <w:caps w:val="false"/>
          <w:smallCaps w:val="false"/>
          <w:sz w:val="20"/>
        </w:rPr>
        <w:t xml:space="preserve">Item 4. Controls and Procedures.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Evaluation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Chief Financial Officer, and Vice President of Finance (our “Certifying Officers”), evaluated the effectiveness of the design and operation of our disclosure controls and procedures (as defined in Rules 13a-15(e) and 15d-15(e) under the Securities Exchange Act of 1934, as amended)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Annual Report on Form 10-K for the fiscal year ended September 30, 2025 (“2025 Annual Report”), management concluded that our disclosure controls and procedures were not effective due to a material weakness in internal control over financial reporting. This weakness related to the design and operation of controls over complex accounting judgments and transaction processing, specifically in the areas of revenue recognition, inventory, investments, intangible assets, and certain payroll processes.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evaluation performed as of December 31, 2025, and the remediation measures implemented during the quarter as described below, our Certifying Officers have concluded that our disclosure controls and procedures were effective as of the end of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quarter ended December 31, 2025, we implemented the following remediation measures to address the material weaknesses previously identified in our 2025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 and Deferred Revenue: We enhanced our contract review process and management oversight of significant judgments to ensure that transaction prices are appropriately allocated to performance obligations for our Robots-as-a-Service (RaaS) model. Controls now ensure revenue is recognized over time only after robotic solutions are fully operational at the customer 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and Asset Valuation: We implemented more rigorous reconciliation procedures and periodic reviews to support the valuation of inventory and the carrying value of intangible assets, ensuring these estimates are supported by current market conditions and anticipated usage.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Accounting Oversight: We strengthened our financial closing process by increasing the depth of technical review for complex or non-routine transactions, particularly those involving entity-level judgments.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remediation activities described above, there were no changes in our internal control over financial reporting during the quarter ended December 31, 2025, that have materially affected, or are reasonably likely to materially affect, our internal control over financial reporting.</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k_012"/>
      <w:bookmarkEnd w:id="13"/>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k_013"/>
      <w:bookmarkEnd w:id="14"/>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2025, a civil action was filed against Richtech and certain of our officers in the Supreme Court of the State of New York, County of Kings (Index No. 517888/2025). The complaint asserts claims for breach of contract, breach of express and implied warranties, fraud, and joint venture liability. The plaintiff seeks damages in excess of $600,000, including compensatory and punitive damages. On September 26, 2025, we filed a motion to dismiss the case. We believes the claims are meritless and are vigorously defending the action. While the outcome of litigation is inherently uncertain, we do not believe this matter will have a material adverse effect on our financial condition, results of operations, or cash flows.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2026, a putative securities class action lawsuit was filed against Richtech and certain of its officers in the United States District Court for the District of Nevada, captioned Luiz Gonzalez Diez v. Richtech Robotics Inc., et al., No. 2:26-cv-00231 (D. Nev.). The complaint asserts claims for alleged violations of federal securities laws related to statements made in a press release issued by Richtech on January 27, 2026. The plaintiff seeks to represent a class of persons and entities who purchased or otherwise acquired Richtech’s publicly traded securities during the period from January 27, 2026 through 12:00 PM EST on January 29, 2026 and seeks unspecified damages and other relief. We dispute the allegations in the complaint and intend to defend the case vigorously. The case is at an early stage and we cannot reasonably estimate the amount of any potential financial loss or cost that could result from this lawsuit.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k_014"/>
      <w:bookmarkEnd w:id="15"/>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under Rule 12b-2 of the Exchange Act, we are not required to include risk factors in this Report. However, as of the date of this Report, there have been no material changes with respect to those risk factors previously disclosed in our (i) registration statement for our initial public offering and (ii) 2025 Annual Report. Any of these factors could result in a significant or material adverse effect on the results of our operations or financial condition. Additional risks could arise that may also affect our business or ability to consummate an initial business combination. We may disclose changes to such risk factors or disclose additional risk factors from time to time in our future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k_015"/>
      <w:bookmarkEnd w:id="16"/>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k_016"/>
      <w:bookmarkEnd w:id="17"/>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k_017"/>
      <w:bookmarkEnd w:id="18"/>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k_018"/>
      <w:bookmarkEnd w:id="19"/>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or Section 16 officer adopted or terminated a trading arrangement intended to satisfy the affirmative defense conditions of Rule 10b5-1(c) or a “non-Rule 10b5-1” trading arrangement during the periods reported in this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k_019"/>
      <w:bookmarkEnd w:id="20"/>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Report.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3"/>
        <w:gridCol w:w="90"/>
        <w:gridCol w:w="9402"/>
      </w:tblGrid>
      <w:tr>
        <w:trPr/>
        <w:tc>
          <w:tcPr>
            <w:tcW w:w="713"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w:t>
            </w:r>
          </w:p>
        </w:tc>
        <w:tc>
          <w:tcPr>
            <w:tcW w:w="90" w:type="dxa"/>
            <w:tcBorders/>
            <w:tcMar>
              <w:bottom w:w="0" w:type="dxa"/>
            </w:tcMar>
            <w:vAlign w:val="center"/>
          </w:tcPr>
          <w:p>
            <w:pPr>
              <w:pStyle w:val="TableContents"/>
              <w:bidi w:val="0"/>
              <w:spacing w:before="0" w:after="283"/>
              <w:jc w:val="left"/>
              <w:rPr/>
            </w:pPr>
            <w:r>
              <w:rPr/>
              <w:t> </w:t>
            </w:r>
          </w:p>
        </w:tc>
        <w:tc>
          <w:tcPr>
            <w:tcW w:w="940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7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02"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sz w:val="20"/>
                </w:rPr>
                <w:t>Articles of Amendment to Articles of Incorporation of Richtech Robotics Inc. (incorporated by reference to Exhibit 3.1 to Richtech’s Current Report on Form 8-K filed on November 17, 2025).</w:t>
              </w:r>
            </w:hyperlink>
          </w:p>
        </w:tc>
      </w:tr>
      <w:tr>
        <w:trPr/>
        <w:tc>
          <w:tcPr>
            <w:tcW w:w="7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0" w:type="dxa"/>
            <w:tcBorders/>
            <w:tcMar>
              <w:bottom w:w="0" w:type="dxa"/>
            </w:tcMar>
            <w:vAlign w:val="center"/>
          </w:tcPr>
          <w:p>
            <w:pPr>
              <w:pStyle w:val="TableContents"/>
              <w:bidi w:val="0"/>
              <w:spacing w:before="0" w:after="283"/>
              <w:jc w:val="left"/>
              <w:rPr/>
            </w:pPr>
            <w:r>
              <w:rPr/>
              <w:t> </w:t>
            </w:r>
          </w:p>
        </w:tc>
        <w:tc>
          <w:tcPr>
            <w:tcW w:w="9402"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Second Amended and Restated Richtech Robotics Inc. 2023 Stock Option Plan (incorporated by reference to Exhibit 10.1 to Richtech’s Current Report on Form 8-K filed on November 17, 2025).</w:t>
              </w:r>
            </w:hyperlink>
          </w:p>
        </w:tc>
      </w:tr>
      <w:tr>
        <w:trPr/>
        <w:tc>
          <w:tcPr>
            <w:tcW w:w="7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90" w:type="dxa"/>
            <w:tcBorders/>
            <w:shd w:fill="CCEEFF" w:val="clear"/>
            <w:tcMar>
              <w:bottom w:w="0" w:type="dxa"/>
            </w:tcMar>
            <w:vAlign w:val="center"/>
          </w:tcPr>
          <w:p>
            <w:pPr>
              <w:pStyle w:val="TableContents"/>
              <w:bidi w:val="0"/>
              <w:spacing w:before="0" w:after="283"/>
              <w:jc w:val="both"/>
              <w:rPr/>
            </w:pPr>
            <w:r>
              <w:rPr/>
              <w:t> </w:t>
            </w:r>
          </w:p>
        </w:tc>
        <w:tc>
          <w:tcPr>
            <w:tcW w:w="9402" w:type="dxa"/>
            <w:tcBorders/>
            <w:shd w:fill="CCEEFF" w:val="clear"/>
            <w:tcMar>
              <w:bottom w:w="0" w:type="dxa"/>
            </w:tcMar>
            <w:vAlign w:val="center"/>
          </w:tcPr>
          <w:p>
            <w:pPr>
              <w:pStyle w:val="TableContents"/>
              <w:bidi w:val="0"/>
              <w:spacing w:before="0" w:after="283"/>
              <w:jc w:val="both"/>
              <w:rPr/>
            </w:pPr>
            <w:hyperlink w:anchor="ea027620201ex31-1_richtech.htm">
              <w:r>
                <w:rPr>
                  <w:rStyle w:val="InternetLink"/>
                  <w:rFonts w:ascii="Times New Roman;Times;Serif" w:hAnsi="Times New Roman;Times;Serif"/>
                  <w:sz w:val="20"/>
                </w:rPr>
                <w:t>Certification of Principal Executive Officer Pursuant to Securities Exchange Act Rules 13a-14(a) and 15(d)-14(a), as adopted Pursuant to Section 302 of the Sarbanes-Oxley Act of 2002.</w:t>
              </w:r>
            </w:hyperlink>
          </w:p>
        </w:tc>
      </w:tr>
      <w:tr>
        <w:trPr/>
        <w:tc>
          <w:tcPr>
            <w:tcW w:w="7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90" w:type="dxa"/>
            <w:tcBorders/>
            <w:tcMar>
              <w:bottom w:w="0" w:type="dxa"/>
            </w:tcMar>
            <w:vAlign w:val="center"/>
          </w:tcPr>
          <w:p>
            <w:pPr>
              <w:pStyle w:val="TableContents"/>
              <w:bidi w:val="0"/>
              <w:spacing w:before="0" w:after="283"/>
              <w:jc w:val="both"/>
              <w:rPr/>
            </w:pPr>
            <w:r>
              <w:rPr/>
              <w:t> </w:t>
            </w:r>
          </w:p>
        </w:tc>
        <w:tc>
          <w:tcPr>
            <w:tcW w:w="9402" w:type="dxa"/>
            <w:tcBorders/>
            <w:tcMar>
              <w:bottom w:w="0" w:type="dxa"/>
            </w:tcMar>
            <w:vAlign w:val="center"/>
          </w:tcPr>
          <w:p>
            <w:pPr>
              <w:pStyle w:val="TableContents"/>
              <w:bidi w:val="0"/>
              <w:spacing w:before="0" w:after="283"/>
              <w:jc w:val="both"/>
              <w:rPr/>
            </w:pPr>
            <w:hyperlink w:anchor="ea027620201ex31-2_richtech.htm">
              <w:r>
                <w:rPr>
                  <w:rStyle w:val="InternetLink"/>
                  <w:rFonts w:ascii="Times New Roman;Times;Serif" w:hAnsi="Times New Roman;Times;Serif"/>
                  <w:sz w:val="20"/>
                </w:rPr>
                <w:t>Certification of Principal Financial Officer Pursuant to Securities Exchange Act Rules 13a-14(a) and 15(d)-14(a), as adopted Pursuant to Section 302 of the Sarbanes-Oxley Act of 2002.</w:t>
              </w:r>
            </w:hyperlink>
          </w:p>
        </w:tc>
      </w:tr>
      <w:tr>
        <w:trPr/>
        <w:tc>
          <w:tcPr>
            <w:tcW w:w="7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90" w:type="dxa"/>
            <w:tcBorders/>
            <w:shd w:fill="CCEEFF" w:val="clear"/>
            <w:tcMar>
              <w:bottom w:w="0" w:type="dxa"/>
            </w:tcMar>
            <w:vAlign w:val="center"/>
          </w:tcPr>
          <w:p>
            <w:pPr>
              <w:pStyle w:val="TableContents"/>
              <w:bidi w:val="0"/>
              <w:spacing w:before="0" w:after="283"/>
              <w:jc w:val="both"/>
              <w:rPr/>
            </w:pPr>
            <w:r>
              <w:rPr/>
              <w:t> </w:t>
            </w:r>
          </w:p>
        </w:tc>
        <w:tc>
          <w:tcPr>
            <w:tcW w:w="9402" w:type="dxa"/>
            <w:tcBorders/>
            <w:shd w:fill="CCEEFF" w:val="clear"/>
            <w:tcMar>
              <w:bottom w:w="0" w:type="dxa"/>
            </w:tcMar>
            <w:vAlign w:val="center"/>
          </w:tcPr>
          <w:p>
            <w:pPr>
              <w:pStyle w:val="TableContents"/>
              <w:bidi w:val="0"/>
              <w:spacing w:before="0" w:after="283"/>
              <w:jc w:val="both"/>
              <w:rPr/>
            </w:pPr>
            <w:hyperlink w:anchor="ea027620201ex32-1_richtech.htm">
              <w:r>
                <w:rPr>
                  <w:rStyle w:val="InternetLink"/>
                  <w:rFonts w:ascii="Times New Roman;Times;Serif" w:hAnsi="Times New Roman;Times;Serif"/>
                  <w:sz w:val="20"/>
                </w:rPr>
                <w:t>Certification of Principal Executive Officer Pursuant to 18 U.S.C. Section 1350, as adopted Pursuant to Section 906 of the Sarbanes-Oxley Act of 2002.</w:t>
              </w:r>
            </w:hyperlink>
          </w:p>
        </w:tc>
      </w:tr>
      <w:tr>
        <w:trPr/>
        <w:tc>
          <w:tcPr>
            <w:tcW w:w="7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90" w:type="dxa"/>
            <w:tcBorders/>
            <w:tcMar>
              <w:bottom w:w="0" w:type="dxa"/>
            </w:tcMar>
            <w:vAlign w:val="center"/>
          </w:tcPr>
          <w:p>
            <w:pPr>
              <w:pStyle w:val="TableContents"/>
              <w:bidi w:val="0"/>
              <w:spacing w:before="0" w:after="283"/>
              <w:jc w:val="both"/>
              <w:rPr/>
            </w:pPr>
            <w:r>
              <w:rPr/>
              <w:t> </w:t>
            </w:r>
          </w:p>
        </w:tc>
        <w:tc>
          <w:tcPr>
            <w:tcW w:w="9402" w:type="dxa"/>
            <w:tcBorders/>
            <w:tcMar>
              <w:bottom w:w="0" w:type="dxa"/>
            </w:tcMar>
            <w:vAlign w:val="center"/>
          </w:tcPr>
          <w:p>
            <w:pPr>
              <w:pStyle w:val="TableContents"/>
              <w:bidi w:val="0"/>
              <w:spacing w:before="0" w:after="283"/>
              <w:jc w:val="both"/>
              <w:rPr/>
            </w:pPr>
            <w:hyperlink w:anchor="ea027620201ex32-2_richtech.htm">
              <w:r>
                <w:rPr>
                  <w:rStyle w:val="InternetLink"/>
                  <w:rFonts w:ascii="Times New Roman;Times;Serif" w:hAnsi="Times New Roman;Times;Serif"/>
                  <w:sz w:val="20"/>
                </w:rPr>
                <w:t>Certification of Principal Financial Officer Pursuant to 18 U.S.C. Section 1350, as adopted Pursuant to Section 906 of the Sarbanes-Oxley Act of 2002.</w:t>
              </w:r>
            </w:hyperlink>
          </w:p>
        </w:tc>
      </w:tr>
      <w:tr>
        <w:trPr/>
        <w:tc>
          <w:tcPr>
            <w:tcW w:w="7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90" w:type="dxa"/>
            <w:tcBorders/>
            <w:shd w:fill="CCEEFF" w:val="clear"/>
            <w:tcMar>
              <w:bottom w:w="0" w:type="dxa"/>
            </w:tcMar>
            <w:vAlign w:val="center"/>
          </w:tcPr>
          <w:p>
            <w:pPr>
              <w:pStyle w:val="TableContents"/>
              <w:bidi w:val="0"/>
              <w:spacing w:before="0" w:after="283"/>
              <w:jc w:val="both"/>
              <w:rPr/>
            </w:pPr>
            <w:r>
              <w:rPr/>
              <w:t> </w:t>
            </w:r>
          </w:p>
        </w:tc>
        <w:tc>
          <w:tcPr>
            <w:tcW w:w="9402"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7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90" w:type="dxa"/>
            <w:tcBorders/>
            <w:tcMar>
              <w:bottom w:w="0" w:type="dxa"/>
            </w:tcMar>
            <w:vAlign w:val="center"/>
          </w:tcPr>
          <w:p>
            <w:pPr>
              <w:pStyle w:val="TableContents"/>
              <w:bidi w:val="0"/>
              <w:spacing w:before="0" w:after="283"/>
              <w:jc w:val="both"/>
              <w:rPr/>
            </w:pPr>
            <w:r>
              <w:rPr/>
              <w:t> </w:t>
            </w:r>
          </w:p>
        </w:tc>
        <w:tc>
          <w:tcPr>
            <w:tcW w:w="9402"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90" w:type="dxa"/>
            <w:tcBorders/>
            <w:shd w:fill="CCEEFF" w:val="clear"/>
            <w:tcMar>
              <w:bottom w:w="0" w:type="dxa"/>
            </w:tcMar>
            <w:vAlign w:val="center"/>
          </w:tcPr>
          <w:p>
            <w:pPr>
              <w:pStyle w:val="TableContents"/>
              <w:bidi w:val="0"/>
              <w:spacing w:before="0" w:after="283"/>
              <w:jc w:val="both"/>
              <w:rPr/>
            </w:pPr>
            <w:r>
              <w:rPr/>
              <w:t> </w:t>
            </w:r>
          </w:p>
        </w:tc>
        <w:tc>
          <w:tcPr>
            <w:tcW w:w="9402"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90" w:type="dxa"/>
            <w:tcBorders/>
            <w:tcMar>
              <w:bottom w:w="0" w:type="dxa"/>
            </w:tcMar>
            <w:vAlign w:val="center"/>
          </w:tcPr>
          <w:p>
            <w:pPr>
              <w:pStyle w:val="TableContents"/>
              <w:bidi w:val="0"/>
              <w:spacing w:before="0" w:after="283"/>
              <w:jc w:val="both"/>
              <w:rPr/>
            </w:pPr>
            <w:r>
              <w:rPr/>
              <w:t> </w:t>
            </w:r>
          </w:p>
        </w:tc>
        <w:tc>
          <w:tcPr>
            <w:tcW w:w="9402"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90" w:type="dxa"/>
            <w:tcBorders/>
            <w:shd w:fill="CCEEFF" w:val="clear"/>
            <w:tcMar>
              <w:bottom w:w="0" w:type="dxa"/>
            </w:tcMar>
            <w:vAlign w:val="center"/>
          </w:tcPr>
          <w:p>
            <w:pPr>
              <w:pStyle w:val="TableContents"/>
              <w:bidi w:val="0"/>
              <w:spacing w:before="0" w:after="283"/>
              <w:jc w:val="both"/>
              <w:rPr/>
            </w:pPr>
            <w:r>
              <w:rPr/>
              <w:t> </w:t>
            </w:r>
          </w:p>
        </w:tc>
        <w:tc>
          <w:tcPr>
            <w:tcW w:w="9402"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90" w:type="dxa"/>
            <w:tcBorders/>
            <w:tcMar>
              <w:bottom w:w="0" w:type="dxa"/>
            </w:tcMar>
            <w:vAlign w:val="center"/>
          </w:tcPr>
          <w:p>
            <w:pPr>
              <w:pStyle w:val="TableContents"/>
              <w:bidi w:val="0"/>
              <w:spacing w:before="0" w:after="283"/>
              <w:jc w:val="both"/>
              <w:rPr/>
            </w:pPr>
            <w:r>
              <w:rPr/>
              <w:t> </w:t>
            </w:r>
          </w:p>
        </w:tc>
        <w:tc>
          <w:tcPr>
            <w:tcW w:w="9402"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tcMar>
              <w:bottom w:w="0" w:type="dxa"/>
            </w:tcMar>
            <w:vAlign w:val="center"/>
          </w:tcPr>
          <w:p>
            <w:pPr>
              <w:pStyle w:val="TableContents"/>
              <w:bidi w:val="0"/>
              <w:spacing w:before="0" w:after="283"/>
              <w:jc w:val="both"/>
              <w:rPr/>
            </w:pPr>
            <w:r>
              <w:rPr/>
              <w:t> </w:t>
            </w:r>
          </w:p>
        </w:tc>
        <w:tc>
          <w:tcPr>
            <w:tcW w:w="9402"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68"/>
        <w:gridCol w:w="155"/>
        <w:gridCol w:w="1310"/>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w:t>
            </w:r>
          </w:p>
        </w:tc>
        <w:tc>
          <w:tcPr>
            <w:tcW w:w="1310" w:type="dxa"/>
            <w:tcBorders/>
            <w:vAlign w:val="center"/>
          </w:tcPr>
          <w:p>
            <w:pPr>
              <w:pStyle w:val="TableContents"/>
              <w:bidi w:val="0"/>
              <w:spacing w:before="0" w:after="283"/>
              <w:jc w:val="both"/>
              <w:rPr>
                <w:sz w:val="20"/>
              </w:rPr>
            </w:pPr>
            <w:r>
              <w:rPr>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278" w:type="dxa"/>
        <w:jc w:val="left"/>
        <w:tblInd w:w="0" w:type="dxa"/>
        <w:tblLayout w:type="fixed"/>
        <w:tblCellMar>
          <w:top w:w="0" w:type="dxa"/>
          <w:left w:w="0" w:type="dxa"/>
          <w:bottom w:w="0" w:type="dxa"/>
          <w:right w:w="0" w:type="dxa"/>
        </w:tblCellMar>
      </w:tblPr>
      <w:tblGrid>
        <w:gridCol w:w="68"/>
        <w:gridCol w:w="260"/>
        <w:gridCol w:w="95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20"/>
              </w:rPr>
            </w:pPr>
            <w:r>
              <w:rPr>
                <w:sz w:val="20"/>
              </w:rPr>
              <w:t>**</w:t>
            </w:r>
          </w:p>
        </w:tc>
        <w:tc>
          <w:tcPr>
            <w:tcW w:w="950" w:type="dxa"/>
            <w:tcBorders/>
            <w:vAlign w:val="center"/>
          </w:tcPr>
          <w:p>
            <w:pPr>
              <w:pStyle w:val="TableContents"/>
              <w:bidi w:val="0"/>
              <w:spacing w:before="0" w:after="283"/>
              <w:jc w:val="both"/>
              <w:rPr>
                <w:sz w:val="20"/>
              </w:rPr>
            </w:pPr>
            <w:r>
              <w:rPr>
                <w:sz w:val="20"/>
              </w:rPr>
              <w:t>Furnished.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portions of this exhibit have been omitted because the omitted information is (i) not material and (ii) would likely cause competitive harm to Richtech if publicly disclosed.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k_020"/>
      <w:bookmarkEnd w:id="21"/>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Exchange Act, the registrant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360" w:type="dxa"/>
        <w:jc w:val="left"/>
        <w:tblInd w:w="0" w:type="dxa"/>
        <w:tblLayout w:type="fixed"/>
        <w:tblCellMar>
          <w:top w:w="0" w:type="dxa"/>
          <w:left w:w="0" w:type="dxa"/>
          <w:bottom w:w="0" w:type="dxa"/>
          <w:right w:w="0" w:type="dxa"/>
        </w:tblCellMar>
      </w:tblPr>
      <w:tblGrid>
        <w:gridCol w:w="2030"/>
        <w:gridCol w:w="620"/>
        <w:gridCol w:w="3710"/>
      </w:tblGrid>
      <w:tr>
        <w:trPr/>
        <w:tc>
          <w:tcPr>
            <w:tcW w:w="2030" w:type="dxa"/>
            <w:tcBorders/>
            <w:vAlign w:val="center"/>
          </w:tcPr>
          <w:p>
            <w:pPr>
              <w:pStyle w:val="TableContents"/>
              <w:bidi w:val="0"/>
              <w:spacing w:before="0" w:after="283"/>
              <w:jc w:val="left"/>
              <w:rPr/>
            </w:pPr>
            <w:r>
              <w:rPr/>
              <w:t> </w:t>
            </w:r>
          </w:p>
        </w:tc>
        <w:tc>
          <w:tcPr>
            <w:tcW w:w="4330" w:type="dxa"/>
            <w:gridSpan w:val="2"/>
            <w:tcBorders/>
            <w:vAlign w:val="center"/>
          </w:tcPr>
          <w:p>
            <w:pPr>
              <w:pStyle w:val="TableContents"/>
              <w:bidi w:val="0"/>
              <w:spacing w:before="0" w:after="283"/>
              <w:jc w:val="left"/>
              <w:rPr>
                <w:b/>
                <w:sz w:val="20"/>
              </w:rPr>
            </w:pPr>
            <w:r>
              <w:rPr>
                <w:b/>
                <w:sz w:val="20"/>
              </w:rPr>
              <w:t>RICHTECH ROBOTICS INC.</w:t>
            </w:r>
          </w:p>
        </w:tc>
      </w:tr>
      <w:tr>
        <w:trPr/>
        <w:tc>
          <w:tcPr>
            <w:tcW w:w="203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sz w:val="20"/>
              </w:rPr>
            </w:pPr>
            <w:r>
              <w:rPr>
                <w:sz w:val="20"/>
              </w:rPr>
              <w:t>Date: February 11, 2026</w:t>
            </w:r>
          </w:p>
        </w:tc>
        <w:tc>
          <w:tcPr>
            <w:tcW w:w="620" w:type="dxa"/>
            <w:tcBorders/>
            <w:vAlign w:val="center"/>
          </w:tcPr>
          <w:p>
            <w:pPr>
              <w:pStyle w:val="TableContents"/>
              <w:bidi w:val="0"/>
              <w:spacing w:before="0" w:after="283"/>
              <w:jc w:val="left"/>
              <w:rPr>
                <w:sz w:val="20"/>
              </w:rPr>
            </w:pPr>
            <w:r>
              <w:rPr>
                <w:sz w:val="20"/>
              </w:rPr>
              <w:t>By:</w:t>
            </w:r>
          </w:p>
        </w:tc>
        <w:tc>
          <w:tcPr>
            <w:tcW w:w="371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Zhenwu Huang</w:t>
            </w:r>
          </w:p>
        </w:tc>
      </w:tr>
      <w:tr>
        <w:trPr/>
        <w:tc>
          <w:tcPr>
            <w:tcW w:w="203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20"/>
              </w:rPr>
            </w:pPr>
            <w:r>
              <w:rPr>
                <w:sz w:val="20"/>
              </w:rPr>
              <w:t>Name:</w:t>
            </w:r>
          </w:p>
        </w:tc>
        <w:tc>
          <w:tcPr>
            <w:tcW w:w="3710" w:type="dxa"/>
            <w:tcBorders/>
            <w:vAlign w:val="center"/>
          </w:tcPr>
          <w:p>
            <w:pPr>
              <w:pStyle w:val="TableContents"/>
              <w:bidi w:val="0"/>
              <w:spacing w:before="0" w:after="283"/>
              <w:jc w:val="left"/>
              <w:rPr>
                <w:sz w:val="20"/>
              </w:rPr>
            </w:pPr>
            <w:r>
              <w:rPr>
                <w:sz w:val="20"/>
              </w:rPr>
              <w:t>Zhenwu Huang</w:t>
            </w:r>
          </w:p>
        </w:tc>
      </w:tr>
      <w:tr>
        <w:trPr/>
        <w:tc>
          <w:tcPr>
            <w:tcW w:w="203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20"/>
              </w:rPr>
            </w:pPr>
            <w:r>
              <w:rPr>
                <w:sz w:val="20"/>
              </w:rPr>
              <w:t>Title:</w:t>
            </w:r>
          </w:p>
        </w:tc>
        <w:tc>
          <w:tcPr>
            <w:tcW w:w="3710" w:type="dxa"/>
            <w:tcBorders/>
            <w:vAlign w:val="center"/>
          </w:tcPr>
          <w:p>
            <w:pPr>
              <w:pStyle w:val="TableContents"/>
              <w:bidi w:val="0"/>
              <w:spacing w:before="0" w:after="283"/>
              <w:jc w:val="left"/>
              <w:rPr>
                <w:sz w:val="20"/>
              </w:rPr>
            </w:pPr>
            <w:r>
              <w:rPr>
                <w:sz w:val="20"/>
              </w:rPr>
              <w:t>Chief Executive Officer</w:t>
            </w:r>
          </w:p>
        </w:tc>
      </w:tr>
      <w:tr>
        <w:trPr/>
        <w:tc>
          <w:tcPr>
            <w:tcW w:w="203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sz w:val="20"/>
              </w:rPr>
            </w:pPr>
            <w:r>
              <w:rPr>
                <w:sz w:val="20"/>
              </w:rPr>
              <w:t>(Principal Executive Officer)</w:t>
            </w:r>
          </w:p>
        </w:tc>
      </w:tr>
      <w:tr>
        <w:trPr/>
        <w:tc>
          <w:tcPr>
            <w:tcW w:w="203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sz w:val="20"/>
              </w:rPr>
            </w:pPr>
            <w:r>
              <w:rPr>
                <w:sz w:val="20"/>
              </w:rPr>
              <w:t>Date: February 11, 2026</w:t>
            </w:r>
          </w:p>
        </w:tc>
        <w:tc>
          <w:tcPr>
            <w:tcW w:w="620" w:type="dxa"/>
            <w:tcBorders/>
            <w:vAlign w:val="center"/>
          </w:tcPr>
          <w:p>
            <w:pPr>
              <w:pStyle w:val="TableContents"/>
              <w:bidi w:val="0"/>
              <w:spacing w:before="0" w:after="283"/>
              <w:jc w:val="left"/>
              <w:rPr>
                <w:sz w:val="20"/>
              </w:rPr>
            </w:pPr>
            <w:r>
              <w:rPr>
                <w:sz w:val="20"/>
              </w:rPr>
              <w:t>By:</w:t>
            </w:r>
          </w:p>
        </w:tc>
        <w:tc>
          <w:tcPr>
            <w:tcW w:w="371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Zhenqiang Huang</w:t>
            </w:r>
          </w:p>
        </w:tc>
      </w:tr>
      <w:tr>
        <w:trPr/>
        <w:tc>
          <w:tcPr>
            <w:tcW w:w="203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20"/>
              </w:rPr>
            </w:pPr>
            <w:r>
              <w:rPr>
                <w:sz w:val="20"/>
              </w:rPr>
              <w:t xml:space="preserve">Name: </w:t>
            </w:r>
          </w:p>
        </w:tc>
        <w:tc>
          <w:tcPr>
            <w:tcW w:w="3710" w:type="dxa"/>
            <w:tcBorders/>
            <w:vAlign w:val="center"/>
          </w:tcPr>
          <w:p>
            <w:pPr>
              <w:pStyle w:val="TableContents"/>
              <w:bidi w:val="0"/>
              <w:spacing w:before="0" w:after="283"/>
              <w:jc w:val="left"/>
              <w:rPr>
                <w:sz w:val="20"/>
              </w:rPr>
            </w:pPr>
            <w:r>
              <w:rPr>
                <w:sz w:val="20"/>
              </w:rPr>
              <w:t>Zhenqiang Huang</w:t>
            </w:r>
          </w:p>
        </w:tc>
      </w:tr>
      <w:tr>
        <w:trPr/>
        <w:tc>
          <w:tcPr>
            <w:tcW w:w="203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20"/>
              </w:rPr>
            </w:pPr>
            <w:r>
              <w:rPr>
                <w:sz w:val="20"/>
              </w:rPr>
              <w:t>Title:</w:t>
            </w:r>
          </w:p>
        </w:tc>
        <w:tc>
          <w:tcPr>
            <w:tcW w:w="3710" w:type="dxa"/>
            <w:tcBorders/>
            <w:vAlign w:val="center"/>
          </w:tcPr>
          <w:p>
            <w:pPr>
              <w:pStyle w:val="TableContents"/>
              <w:bidi w:val="0"/>
              <w:spacing w:before="0" w:after="283"/>
              <w:jc w:val="left"/>
              <w:rPr>
                <w:sz w:val="20"/>
              </w:rPr>
            </w:pPr>
            <w:r>
              <w:rPr>
                <w:sz w:val="20"/>
              </w:rPr>
              <w:t>Chief Financial Officer</w:t>
            </w:r>
          </w:p>
        </w:tc>
      </w:tr>
      <w:tr>
        <w:trPr/>
        <w:tc>
          <w:tcPr>
            <w:tcW w:w="203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sz w:val="20"/>
              </w:rPr>
            </w:pPr>
            <w:r>
              <w:rPr>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27620201ex31-1_richtech.htm"/>
      <w:bookmarkStart w:id="23" w:name="ksea027620201ex311_richtech"/>
      <w:bookmarkEnd w:id="22"/>
      <w:bookmarkEnd w:id="23"/>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13a-14(a) AND RULE 15d-14(a)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EXCHANGE ACT OF 1934,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Zhenwu Huang,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sz w:val="20"/>
              </w:rPr>
            </w:pPr>
            <w:r>
              <w:rPr>
                <w:sz w:val="20"/>
              </w:rPr>
              <w:t>1.</w:t>
            </w:r>
          </w:p>
        </w:tc>
        <w:tc>
          <w:tcPr>
            <w:tcW w:w="9990" w:type="dxa"/>
            <w:tcBorders/>
            <w:vAlign w:val="center"/>
          </w:tcPr>
          <w:p>
            <w:pPr>
              <w:pStyle w:val="TableContents"/>
              <w:bidi w:val="0"/>
              <w:spacing w:before="0" w:after="283"/>
              <w:jc w:val="both"/>
              <w:rPr>
                <w:sz w:val="20"/>
              </w:rPr>
            </w:pPr>
            <w:r>
              <w:rPr>
                <w:sz w:val="20"/>
              </w:rPr>
              <w:t>I have reviewed this Quarterly Report on Form 10-Q of Richtech Robotics Inc.;</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sz w:val="20"/>
              </w:rPr>
            </w:pPr>
            <w:r>
              <w:rPr>
                <w:sz w:val="20"/>
              </w:rPr>
              <w:t>2.</w:t>
            </w:r>
          </w:p>
        </w:tc>
        <w:tc>
          <w:tcPr>
            <w:tcW w:w="9990"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sz w:val="20"/>
              </w:rPr>
            </w:pPr>
            <w:r>
              <w:rPr>
                <w:sz w:val="20"/>
              </w:rPr>
              <w:t>3.</w:t>
            </w:r>
          </w:p>
        </w:tc>
        <w:tc>
          <w:tcPr>
            <w:tcW w:w="9990"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sz w:val="20"/>
              </w:rPr>
            </w:pPr>
            <w:r>
              <w:rPr>
                <w:sz w:val="20"/>
              </w:rPr>
              <w:t>4.</w:t>
            </w:r>
          </w:p>
        </w:tc>
        <w:tc>
          <w:tcPr>
            <w:tcW w:w="9990" w:type="dxa"/>
            <w:tcBorders/>
            <w:vAlign w:val="center"/>
          </w:tcPr>
          <w:p>
            <w:pPr>
              <w:pStyle w:val="TableContents"/>
              <w:bidi w:val="0"/>
              <w:spacing w:before="0" w:after="283"/>
              <w:jc w:val="both"/>
              <w:rPr>
                <w:sz w:val="20"/>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sz w:val="20"/>
              </w:rPr>
            </w:pPr>
            <w:r>
              <w:rPr>
                <w:sz w:val="20"/>
              </w:rPr>
              <w:t>(a)</w:t>
            </w:r>
          </w:p>
        </w:tc>
        <w:tc>
          <w:tcPr>
            <w:tcW w:w="9927"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sz w:val="20"/>
              </w:rPr>
            </w:pPr>
            <w:r>
              <w:rPr>
                <w:sz w:val="20"/>
              </w:rPr>
              <w:t>(b)</w:t>
            </w:r>
          </w:p>
        </w:tc>
        <w:tc>
          <w:tcPr>
            <w:tcW w:w="9927"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sz w:val="20"/>
              </w:rPr>
            </w:pPr>
            <w:r>
              <w:rPr>
                <w:sz w:val="20"/>
              </w:rPr>
              <w:t>(c)</w:t>
            </w:r>
          </w:p>
        </w:tc>
        <w:tc>
          <w:tcPr>
            <w:tcW w:w="9927"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sz w:val="20"/>
              </w:rPr>
            </w:pPr>
            <w:r>
              <w:rPr>
                <w:sz w:val="20"/>
              </w:rPr>
              <w:t>(d)</w:t>
            </w:r>
          </w:p>
        </w:tc>
        <w:tc>
          <w:tcPr>
            <w:tcW w:w="9927"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283"/>
              <w:jc w:val="both"/>
              <w:rPr>
                <w:sz w:val="20"/>
              </w:rPr>
            </w:pPr>
            <w:r>
              <w:rPr>
                <w:sz w:val="20"/>
              </w:rPr>
              <w:t>5.</w:t>
            </w:r>
          </w:p>
        </w:tc>
        <w:tc>
          <w:tcPr>
            <w:tcW w:w="9987" w:type="dxa"/>
            <w:tcBorders/>
            <w:vAlign w:val="center"/>
          </w:tcPr>
          <w:p>
            <w:pPr>
              <w:pStyle w:val="TableContents"/>
              <w:bidi w:val="0"/>
              <w:spacing w:before="0" w:after="283"/>
              <w:jc w:val="both"/>
              <w:rPr>
                <w:sz w:val="20"/>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sz w:val="20"/>
              </w:rPr>
            </w:pPr>
            <w:r>
              <w:rPr>
                <w:sz w:val="20"/>
              </w:rPr>
              <w:t>(a)</w:t>
            </w:r>
          </w:p>
        </w:tc>
        <w:tc>
          <w:tcPr>
            <w:tcW w:w="9919"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sz w:val="20"/>
              </w:rPr>
            </w:pPr>
            <w:r>
              <w:rPr>
                <w:sz w:val="20"/>
              </w:rPr>
              <w:t>(b)</w:t>
            </w:r>
          </w:p>
        </w:tc>
        <w:tc>
          <w:tcPr>
            <w:tcW w:w="9919"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425" w:type="dxa"/>
        <w:jc w:val="left"/>
        <w:tblInd w:w="0" w:type="dxa"/>
        <w:tblLayout w:type="fixed"/>
        <w:tblCellMar>
          <w:top w:w="0" w:type="dxa"/>
          <w:left w:w="0" w:type="dxa"/>
          <w:bottom w:w="0" w:type="dxa"/>
          <w:right w:w="0" w:type="dxa"/>
        </w:tblCellMar>
      </w:tblPr>
      <w:tblGrid>
        <w:gridCol w:w="1520"/>
        <w:gridCol w:w="545"/>
        <w:gridCol w:w="2360"/>
      </w:tblGrid>
      <w:tr>
        <w:trPr/>
        <w:tc>
          <w:tcPr>
            <w:tcW w:w="1520" w:type="dxa"/>
            <w:tcBorders/>
            <w:vAlign w:val="center"/>
          </w:tcPr>
          <w:p>
            <w:pPr>
              <w:pStyle w:val="TableContents"/>
              <w:bidi w:val="0"/>
              <w:spacing w:before="0" w:after="283"/>
              <w:jc w:val="both"/>
              <w:rPr>
                <w:sz w:val="20"/>
              </w:rPr>
            </w:pPr>
            <w:r>
              <w:rPr>
                <w:sz w:val="20"/>
              </w:rPr>
              <w:t>February 11, 2026</w:t>
            </w:r>
          </w:p>
        </w:tc>
        <w:tc>
          <w:tcPr>
            <w:tcW w:w="545" w:type="dxa"/>
            <w:tcBorders/>
            <w:vAlign w:val="center"/>
          </w:tcPr>
          <w:p>
            <w:pPr>
              <w:pStyle w:val="TableContents"/>
              <w:bidi w:val="0"/>
              <w:spacing w:before="0" w:after="283"/>
              <w:jc w:val="both"/>
              <w:rPr/>
            </w:pPr>
            <w:r>
              <w:rPr/>
              <w:t> </w:t>
            </w:r>
          </w:p>
        </w:tc>
        <w:tc>
          <w:tcPr>
            <w:tcW w:w="2360" w:type="dxa"/>
            <w:tcBorders>
              <w:bottom w:val="single" w:sz="12" w:space="0" w:color="000000"/>
            </w:tcBorders>
            <w:tcMar>
              <w:bottom w:w="28" w:type="dxa"/>
            </w:tcMar>
            <w:vAlign w:val="center"/>
          </w:tcPr>
          <w:p>
            <w:pPr>
              <w:pStyle w:val="TableContents"/>
              <w:bidi w:val="0"/>
              <w:spacing w:before="0" w:after="283"/>
              <w:jc w:val="both"/>
              <w:rPr>
                <w:i/>
                <w:sz w:val="20"/>
              </w:rPr>
            </w:pPr>
            <w:r>
              <w:rPr>
                <w:i/>
                <w:sz w:val="20"/>
              </w:rPr>
              <w:t>/s/ Zhenwu Huang</w:t>
            </w:r>
          </w:p>
        </w:tc>
      </w:tr>
      <w:tr>
        <w:trPr/>
        <w:tc>
          <w:tcPr>
            <w:tcW w:w="152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Name:</w:t>
            </w:r>
          </w:p>
        </w:tc>
        <w:tc>
          <w:tcPr>
            <w:tcW w:w="2360" w:type="dxa"/>
            <w:tcBorders/>
            <w:vAlign w:val="center"/>
          </w:tcPr>
          <w:p>
            <w:pPr>
              <w:pStyle w:val="TableContents"/>
              <w:bidi w:val="0"/>
              <w:spacing w:before="0" w:after="283"/>
              <w:jc w:val="both"/>
              <w:rPr>
                <w:sz w:val="20"/>
              </w:rPr>
            </w:pPr>
            <w:r>
              <w:rPr>
                <w:sz w:val="20"/>
              </w:rPr>
              <w:t>Zhenwu Huang</w:t>
            </w:r>
          </w:p>
        </w:tc>
      </w:tr>
      <w:tr>
        <w:trPr/>
        <w:tc>
          <w:tcPr>
            <w:tcW w:w="152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2360" w:type="dxa"/>
            <w:tcBorders/>
            <w:vAlign w:val="center"/>
          </w:tcPr>
          <w:p>
            <w:pPr>
              <w:pStyle w:val="TableContents"/>
              <w:bidi w:val="0"/>
              <w:spacing w:before="0" w:after="283"/>
              <w:jc w:val="both"/>
              <w:rPr>
                <w:sz w:val="20"/>
              </w:rPr>
            </w:pPr>
            <w:r>
              <w:rPr>
                <w:sz w:val="20"/>
              </w:rPr>
              <w:t>Chief Executive Officer</w:t>
            </w:r>
          </w:p>
        </w:tc>
      </w:tr>
      <w:tr>
        <w:trPr/>
        <w:tc>
          <w:tcPr>
            <w:tcW w:w="152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2360" w:type="dxa"/>
            <w:tcBorders/>
            <w:vAlign w:val="center"/>
          </w:tcPr>
          <w:p>
            <w:pPr>
              <w:pStyle w:val="TableContents"/>
              <w:bidi w:val="0"/>
              <w:spacing w:before="0" w:after="283"/>
              <w:jc w:val="both"/>
              <w:rPr>
                <w:sz w:val="20"/>
              </w:rPr>
            </w:pPr>
            <w:r>
              <w:rPr>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bookmarkStart w:id="24" w:name="ea027620201ex31-2_richtech.htm"/>
      <w:bookmarkStart w:id="25" w:name="ksea027620201ex312_richtech"/>
      <w:bookmarkEnd w:id="24"/>
      <w:bookmarkEnd w:id="25"/>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13a-14(a) AND RULE 15d-14(a)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EXCHANGE ACT OF 1934,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Zhenqiang Huang,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sz w:val="20"/>
              </w:rPr>
            </w:pPr>
            <w:r>
              <w:rPr>
                <w:sz w:val="20"/>
              </w:rPr>
              <w:t>1.</w:t>
            </w:r>
          </w:p>
        </w:tc>
        <w:tc>
          <w:tcPr>
            <w:tcW w:w="9990" w:type="dxa"/>
            <w:tcBorders/>
            <w:vAlign w:val="center"/>
          </w:tcPr>
          <w:p>
            <w:pPr>
              <w:pStyle w:val="TableContents"/>
              <w:bidi w:val="0"/>
              <w:spacing w:before="0" w:after="283"/>
              <w:jc w:val="both"/>
              <w:rPr>
                <w:sz w:val="20"/>
              </w:rPr>
            </w:pPr>
            <w:r>
              <w:rPr>
                <w:sz w:val="20"/>
              </w:rPr>
              <w:t>I have reviewed this Quarterly Report on Form 10-Q of Richtech Robotics Inc.;</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sz w:val="20"/>
              </w:rPr>
            </w:pPr>
            <w:r>
              <w:rPr>
                <w:sz w:val="20"/>
              </w:rPr>
              <w:t>2.</w:t>
            </w:r>
          </w:p>
        </w:tc>
        <w:tc>
          <w:tcPr>
            <w:tcW w:w="9990"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sz w:val="20"/>
              </w:rPr>
            </w:pPr>
            <w:r>
              <w:rPr>
                <w:sz w:val="20"/>
              </w:rPr>
              <w:t>3.</w:t>
            </w:r>
          </w:p>
        </w:tc>
        <w:tc>
          <w:tcPr>
            <w:tcW w:w="9990"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sz w:val="20"/>
              </w:rPr>
            </w:pPr>
            <w:r>
              <w:rPr>
                <w:sz w:val="20"/>
              </w:rPr>
              <w:t>4.</w:t>
            </w:r>
          </w:p>
        </w:tc>
        <w:tc>
          <w:tcPr>
            <w:tcW w:w="9990" w:type="dxa"/>
            <w:tcBorders/>
            <w:vAlign w:val="center"/>
          </w:tcPr>
          <w:p>
            <w:pPr>
              <w:pStyle w:val="TableContents"/>
              <w:bidi w:val="0"/>
              <w:spacing w:before="0" w:after="283"/>
              <w:jc w:val="both"/>
              <w:rPr>
                <w:sz w:val="20"/>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sz w:val="20"/>
              </w:rPr>
            </w:pPr>
            <w:r>
              <w:rPr>
                <w:sz w:val="20"/>
              </w:rPr>
              <w:t>(a)</w:t>
            </w:r>
          </w:p>
        </w:tc>
        <w:tc>
          <w:tcPr>
            <w:tcW w:w="9927"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sz w:val="20"/>
              </w:rPr>
            </w:pPr>
            <w:r>
              <w:rPr>
                <w:sz w:val="20"/>
              </w:rPr>
              <w:t>(b)</w:t>
            </w:r>
          </w:p>
        </w:tc>
        <w:tc>
          <w:tcPr>
            <w:tcW w:w="9927"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sz w:val="20"/>
              </w:rPr>
            </w:pPr>
            <w:r>
              <w:rPr>
                <w:sz w:val="20"/>
              </w:rPr>
              <w:t>(c)</w:t>
            </w:r>
          </w:p>
        </w:tc>
        <w:tc>
          <w:tcPr>
            <w:tcW w:w="9927"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sz w:val="20"/>
              </w:rPr>
            </w:pPr>
            <w:r>
              <w:rPr>
                <w:sz w:val="20"/>
              </w:rPr>
              <w:t>(d)</w:t>
            </w:r>
          </w:p>
        </w:tc>
        <w:tc>
          <w:tcPr>
            <w:tcW w:w="9927"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283"/>
              <w:jc w:val="both"/>
              <w:rPr>
                <w:sz w:val="20"/>
              </w:rPr>
            </w:pPr>
            <w:r>
              <w:rPr>
                <w:sz w:val="20"/>
              </w:rPr>
              <w:t>5.</w:t>
            </w:r>
          </w:p>
        </w:tc>
        <w:tc>
          <w:tcPr>
            <w:tcW w:w="9987" w:type="dxa"/>
            <w:tcBorders/>
            <w:vAlign w:val="center"/>
          </w:tcPr>
          <w:p>
            <w:pPr>
              <w:pStyle w:val="TableContents"/>
              <w:bidi w:val="0"/>
              <w:spacing w:before="0" w:after="283"/>
              <w:jc w:val="both"/>
              <w:rPr>
                <w:sz w:val="20"/>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sz w:val="20"/>
              </w:rPr>
            </w:pPr>
            <w:r>
              <w:rPr>
                <w:sz w:val="20"/>
              </w:rPr>
              <w:t>(a)</w:t>
            </w:r>
          </w:p>
        </w:tc>
        <w:tc>
          <w:tcPr>
            <w:tcW w:w="9919"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sz w:val="20"/>
              </w:rPr>
            </w:pPr>
            <w:r>
              <w:rPr>
                <w:sz w:val="20"/>
              </w:rPr>
              <w:t>(b)</w:t>
            </w:r>
          </w:p>
        </w:tc>
        <w:tc>
          <w:tcPr>
            <w:tcW w:w="9919"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360"/>
        <w:jc w:val="both"/>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1520"/>
        <w:gridCol w:w="590"/>
        <w:gridCol w:w="2300"/>
      </w:tblGrid>
      <w:tr>
        <w:trPr/>
        <w:tc>
          <w:tcPr>
            <w:tcW w:w="1520" w:type="dxa"/>
            <w:tcBorders/>
            <w:vAlign w:val="center"/>
          </w:tcPr>
          <w:p>
            <w:pPr>
              <w:pStyle w:val="TableContents"/>
              <w:bidi w:val="0"/>
              <w:spacing w:before="0" w:after="283"/>
              <w:jc w:val="both"/>
              <w:rPr>
                <w:sz w:val="20"/>
              </w:rPr>
            </w:pPr>
            <w:r>
              <w:rPr>
                <w:sz w:val="20"/>
              </w:rPr>
              <w:t>February 11, 2026</w:t>
            </w:r>
          </w:p>
        </w:tc>
        <w:tc>
          <w:tcPr>
            <w:tcW w:w="590" w:type="dxa"/>
            <w:tcBorders/>
            <w:vAlign w:val="center"/>
          </w:tcPr>
          <w:p>
            <w:pPr>
              <w:pStyle w:val="TableContents"/>
              <w:bidi w:val="0"/>
              <w:spacing w:before="0" w:after="283"/>
              <w:jc w:val="both"/>
              <w:rPr/>
            </w:pPr>
            <w:r>
              <w:rPr/>
              <w:t> </w:t>
            </w:r>
          </w:p>
        </w:tc>
        <w:tc>
          <w:tcPr>
            <w:tcW w:w="2300" w:type="dxa"/>
            <w:tcBorders>
              <w:bottom w:val="single" w:sz="12" w:space="0" w:color="000000"/>
            </w:tcBorders>
            <w:tcMar>
              <w:bottom w:w="28" w:type="dxa"/>
            </w:tcMar>
            <w:vAlign w:val="center"/>
          </w:tcPr>
          <w:p>
            <w:pPr>
              <w:pStyle w:val="TableContents"/>
              <w:bidi w:val="0"/>
              <w:spacing w:before="0" w:after="283"/>
              <w:jc w:val="both"/>
              <w:rPr>
                <w:i/>
                <w:sz w:val="20"/>
              </w:rPr>
            </w:pPr>
            <w:r>
              <w:rPr>
                <w:i/>
                <w:sz w:val="20"/>
              </w:rPr>
              <w:t>/s/ Zhenqiang Huang</w:t>
            </w:r>
          </w:p>
        </w:tc>
      </w:tr>
      <w:tr>
        <w:trPr/>
        <w:tc>
          <w:tcPr>
            <w:tcW w:w="152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Name: </w:t>
            </w:r>
          </w:p>
        </w:tc>
        <w:tc>
          <w:tcPr>
            <w:tcW w:w="2300" w:type="dxa"/>
            <w:tcBorders/>
            <w:vAlign w:val="center"/>
          </w:tcPr>
          <w:p>
            <w:pPr>
              <w:pStyle w:val="TableContents"/>
              <w:bidi w:val="0"/>
              <w:spacing w:before="0" w:after="283"/>
              <w:jc w:val="both"/>
              <w:rPr/>
            </w:pPr>
            <w:r>
              <w:rPr/>
              <w:t> </w:t>
            </w:r>
            <w:r>
              <w:rPr>
                <w:sz w:val="20"/>
              </w:rPr>
              <w:t>Zhenqiang Huang</w:t>
            </w:r>
          </w:p>
        </w:tc>
      </w:tr>
      <w:tr>
        <w:trPr/>
        <w:tc>
          <w:tcPr>
            <w:tcW w:w="152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Title:</w:t>
            </w:r>
          </w:p>
        </w:tc>
        <w:tc>
          <w:tcPr>
            <w:tcW w:w="2300" w:type="dxa"/>
            <w:tcBorders/>
            <w:vAlign w:val="center"/>
          </w:tcPr>
          <w:p>
            <w:pPr>
              <w:pStyle w:val="TableContents"/>
              <w:bidi w:val="0"/>
              <w:spacing w:before="0" w:after="283"/>
              <w:jc w:val="both"/>
              <w:rPr>
                <w:sz w:val="20"/>
              </w:rPr>
            </w:pPr>
            <w:r>
              <w:rPr>
                <w:sz w:val="20"/>
              </w:rPr>
              <w:t>Chief Financial Officer</w:t>
            </w:r>
          </w:p>
        </w:tc>
      </w:tr>
      <w:tr>
        <w:trPr/>
        <w:tc>
          <w:tcPr>
            <w:tcW w:w="152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sz w:val="20"/>
              </w:rPr>
            </w:pPr>
            <w:r>
              <w:rPr>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a027620201ex32-1_richtech.htm"/>
      <w:bookmarkStart w:id="27" w:name="ksea027620201ex321_richtech"/>
      <w:bookmarkEnd w:id="26"/>
      <w:bookmarkEnd w:id="27"/>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Richtech Robotics Inc. (the “Company”) on Form 10-Q for the period ended December 31, 2025, as filed with the Securities and Exchange Commission on the date hereof (the “Report”), Zhenwu Huang, as Chief Executive Officer and principal executive officer of the Company, hereby certifies, pursuant to 18 U.S.C. Section 1350, as adopted pursuant to Section 906 of the Sarbanes-Oxley Act of 2002, to the best of the undersigned’s knowledge and belief, that:</w:t>
      </w:r>
    </w:p>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both"/>
              <w:rPr/>
            </w:pPr>
            <w:r>
              <w:rPr/>
              <w:t> </w:t>
            </w:r>
          </w:p>
        </w:tc>
        <w:tc>
          <w:tcPr>
            <w:tcW w:w="151" w:type="dxa"/>
            <w:tcBorders/>
            <w:vAlign w:val="center"/>
          </w:tcPr>
          <w:p>
            <w:pPr>
              <w:pStyle w:val="TableContents"/>
              <w:bidi w:val="0"/>
              <w:spacing w:before="0" w:after="283"/>
              <w:jc w:val="both"/>
              <w:rPr>
                <w:sz w:val="20"/>
              </w:rPr>
            </w:pPr>
            <w:r>
              <w:rPr>
                <w:sz w:val="20"/>
              </w:rPr>
              <w:t>1.</w:t>
            </w:r>
          </w:p>
        </w:tc>
        <w:tc>
          <w:tcPr>
            <w:tcW w:w="9979" w:type="dxa"/>
            <w:tcBorders/>
            <w:vAlign w:val="center"/>
          </w:tcPr>
          <w:p>
            <w:pPr>
              <w:pStyle w:val="TableContents"/>
              <w:bidi w:val="0"/>
              <w:spacing w:before="0" w:after="283"/>
              <w:jc w:val="both"/>
              <w:rPr>
                <w:sz w:val="20"/>
              </w:rPr>
            </w:pPr>
            <w:r>
              <w:rPr>
                <w:sz w:val="20"/>
              </w:rPr>
              <w:t>The Report fully complies with the requirements of Section 13(a) or 15(d), as applicable, of the Securities Exchange Act of 1934, as amended; and</w:t>
            </w:r>
          </w:p>
        </w:tc>
      </w:tr>
      <w:tr>
        <w:trPr/>
        <w:tc>
          <w:tcPr>
            <w:tcW w:w="75" w:type="dxa"/>
            <w:tcBorders/>
            <w:vAlign w:val="center"/>
          </w:tcPr>
          <w:p>
            <w:pPr>
              <w:pStyle w:val="TableContents"/>
              <w:bidi w:val="0"/>
              <w:spacing w:before="0" w:after="283"/>
              <w:jc w:val="both"/>
              <w:rPr/>
            </w:pPr>
            <w:r>
              <w:rPr/>
              <w:t> </w:t>
            </w:r>
          </w:p>
        </w:tc>
        <w:tc>
          <w:tcPr>
            <w:tcW w:w="151" w:type="dxa"/>
            <w:tcBorders/>
            <w:vAlign w:val="center"/>
          </w:tcPr>
          <w:p>
            <w:pPr>
              <w:pStyle w:val="TableContents"/>
              <w:bidi w:val="0"/>
              <w:spacing w:before="0" w:after="283"/>
              <w:jc w:val="both"/>
              <w:rPr>
                <w:sz w:val="20"/>
              </w:rPr>
            </w:pPr>
            <w:r>
              <w:rPr>
                <w:sz w:val="20"/>
              </w:rPr>
              <w:t>2.</w:t>
            </w:r>
          </w:p>
        </w:tc>
        <w:tc>
          <w:tcPr>
            <w:tcW w:w="9979" w:type="dxa"/>
            <w:tcBorders/>
            <w:vAlign w:val="center"/>
          </w:tcPr>
          <w:p>
            <w:pPr>
              <w:pStyle w:val="TableContents"/>
              <w:bidi w:val="0"/>
              <w:spacing w:before="0" w:after="283"/>
              <w:jc w:val="both"/>
              <w:rPr>
                <w:sz w:val="20"/>
              </w:rPr>
            </w:pPr>
            <w:r>
              <w:rPr>
                <w:sz w:val="20"/>
              </w:rPr>
              <w:t>Information contained in the Report fairly presents, in all material respects, the financial condition and results of operations of the Company as of the dates and for the periods expressed in the Report.</w:t>
            </w:r>
          </w:p>
        </w:tc>
      </w:tr>
    </w:tbl>
    <w:p>
      <w:pPr>
        <w:pStyle w:val="TextBody"/>
        <w:bidi w:val="0"/>
        <w:spacing w:before="0" w:after="0"/>
        <w:ind w:left="0" w:right="0" w:hanging="0"/>
        <w:jc w:val="both"/>
        <w:rPr>
          <w:caps w:val="false"/>
          <w:smallCaps w:val="false"/>
        </w:rPr>
      </w:pPr>
      <w:r>
        <w:rPr>
          <w:caps w:val="false"/>
          <w:smallCaps w:val="false"/>
        </w:rPr>
        <w:t> </w:t>
      </w:r>
    </w:p>
    <w:tbl>
      <w:tblPr>
        <w:tblW w:w="2420" w:type="dxa"/>
        <w:jc w:val="left"/>
        <w:tblInd w:w="0" w:type="dxa"/>
        <w:tblLayout w:type="fixed"/>
        <w:tblCellMar>
          <w:top w:w="0" w:type="dxa"/>
          <w:left w:w="0" w:type="dxa"/>
          <w:bottom w:w="28" w:type="dxa"/>
          <w:right w:w="0" w:type="dxa"/>
        </w:tblCellMar>
      </w:tblPr>
      <w:tblGrid>
        <w:gridCol w:w="2345"/>
        <w:gridCol w:w="75"/>
      </w:tblGrid>
      <w:tr>
        <w:trPr/>
        <w:tc>
          <w:tcPr>
            <w:tcW w:w="2345" w:type="dxa"/>
            <w:tcBorders>
              <w:bottom w:val="single" w:sz="12" w:space="0" w:color="000000"/>
            </w:tcBorders>
            <w:vAlign w:val="center"/>
          </w:tcPr>
          <w:p>
            <w:pPr>
              <w:pStyle w:val="TableContents"/>
              <w:bidi w:val="0"/>
              <w:spacing w:before="0" w:after="283"/>
              <w:jc w:val="both"/>
              <w:rPr>
                <w:i/>
                <w:sz w:val="20"/>
              </w:rPr>
            </w:pPr>
            <w:r>
              <w:rPr>
                <w:i/>
                <w:sz w:val="20"/>
              </w:rPr>
              <w:t>/s/ Zhenwu Huang</w:t>
            </w:r>
          </w:p>
        </w:tc>
        <w:tc>
          <w:tcPr>
            <w:tcW w:w="75" w:type="dxa"/>
            <w:tcBorders/>
            <w:tcMar>
              <w:bottom w:w="0" w:type="dxa"/>
            </w:tcMar>
            <w:vAlign w:val="center"/>
          </w:tcPr>
          <w:p>
            <w:pPr>
              <w:pStyle w:val="TableContents"/>
              <w:bidi w:val="0"/>
              <w:spacing w:before="0" w:after="283"/>
              <w:jc w:val="both"/>
              <w:rPr/>
            </w:pPr>
            <w:r>
              <w:rPr/>
              <w:t> </w:t>
            </w:r>
          </w:p>
        </w:tc>
      </w:tr>
      <w:tr>
        <w:trPr/>
        <w:tc>
          <w:tcPr>
            <w:tcW w:w="2345" w:type="dxa"/>
            <w:tcBorders/>
            <w:tcMar>
              <w:bottom w:w="0" w:type="dxa"/>
            </w:tcMar>
            <w:vAlign w:val="center"/>
          </w:tcPr>
          <w:p>
            <w:pPr>
              <w:pStyle w:val="TableContents"/>
              <w:bidi w:val="0"/>
              <w:spacing w:before="0" w:after="283"/>
              <w:jc w:val="both"/>
              <w:rPr>
                <w:sz w:val="20"/>
              </w:rPr>
            </w:pPr>
            <w:r>
              <w:rPr>
                <w:sz w:val="20"/>
              </w:rPr>
              <w:t>Zhenwu Huang</w:t>
            </w:r>
          </w:p>
        </w:tc>
        <w:tc>
          <w:tcPr>
            <w:tcW w:w="75" w:type="dxa"/>
            <w:tcBorders/>
            <w:tcMar>
              <w:bottom w:w="0" w:type="dxa"/>
            </w:tcMar>
            <w:vAlign w:val="center"/>
          </w:tcPr>
          <w:p>
            <w:pPr>
              <w:pStyle w:val="TableContents"/>
              <w:bidi w:val="0"/>
              <w:spacing w:before="0" w:after="283"/>
              <w:jc w:val="both"/>
              <w:rPr/>
            </w:pPr>
            <w:r>
              <w:rPr/>
              <w:t> </w:t>
            </w:r>
          </w:p>
        </w:tc>
      </w:tr>
      <w:tr>
        <w:trPr/>
        <w:tc>
          <w:tcPr>
            <w:tcW w:w="2345" w:type="dxa"/>
            <w:tcBorders/>
            <w:tcMar>
              <w:bottom w:w="0" w:type="dxa"/>
            </w:tcMar>
            <w:vAlign w:val="center"/>
          </w:tcPr>
          <w:p>
            <w:pPr>
              <w:pStyle w:val="TableContents"/>
              <w:bidi w:val="0"/>
              <w:spacing w:before="0" w:after="283"/>
              <w:jc w:val="both"/>
              <w:rPr>
                <w:sz w:val="20"/>
              </w:rPr>
            </w:pPr>
            <w:r>
              <w:rPr>
                <w:sz w:val="20"/>
              </w:rPr>
              <w:t xml:space="preserve">Chief Executive Officer and </w:t>
              <w:br/>
              <w:t>Principal Executive Officer</w:t>
            </w:r>
          </w:p>
        </w:tc>
        <w:tc>
          <w:tcPr>
            <w:tcW w:w="75" w:type="dxa"/>
            <w:tcBorders/>
            <w:tcMar>
              <w:bottom w:w="0" w:type="dxa"/>
            </w:tcMar>
            <w:vAlign w:val="center"/>
          </w:tcPr>
          <w:p>
            <w:pPr>
              <w:pStyle w:val="TableContents"/>
              <w:bidi w:val="0"/>
              <w:spacing w:before="0" w:after="283"/>
              <w:jc w:val="both"/>
              <w:rPr/>
            </w:pPr>
            <w:r>
              <w:rPr/>
              <w:t> </w:t>
            </w:r>
          </w:p>
        </w:tc>
      </w:tr>
      <w:tr>
        <w:trPr/>
        <w:tc>
          <w:tcPr>
            <w:tcW w:w="2345"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2345" w:type="dxa"/>
            <w:tcBorders/>
            <w:tcMar>
              <w:bottom w:w="0" w:type="dxa"/>
            </w:tcMar>
            <w:vAlign w:val="center"/>
          </w:tcPr>
          <w:p>
            <w:pPr>
              <w:pStyle w:val="TableContents"/>
              <w:bidi w:val="0"/>
              <w:spacing w:before="0" w:after="283"/>
              <w:jc w:val="both"/>
              <w:rPr>
                <w:sz w:val="20"/>
              </w:rPr>
            </w:pPr>
            <w:r>
              <w:rPr>
                <w:sz w:val="20"/>
              </w:rPr>
              <w:t>Dated: February 11, 2026</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this Report pursuant to Section 906 of the Sarbanes-Oxley Act of 2002 and shall not be deemed filed by the Company for purposes of Section 18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8" w:name="ea027620201ex32-2_richtech.htm"/>
      <w:bookmarkStart w:id="29" w:name="ksea027620201ex322_richtech"/>
      <w:bookmarkEnd w:id="28"/>
      <w:bookmarkEnd w:id="29"/>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Richtech Robotics Inc. (the “Company”) on Form 10-Q for the period ended December 31, 2025, as filed with the Securities and Exchange Commission on the date hereof (the “Report”), Zhenqiang Huang, as Chief Financial Officer and principal financial officer of the Company, hereby certifies, pursuant to 18 U.S.C. Section 1350, as adopted pursuant to Section 906 of the Sarbanes-Oxley Act of 2002, to the best of the undersigned’s knowledge and belief, that:</w:t>
      </w:r>
    </w:p>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both"/>
              <w:rPr/>
            </w:pPr>
            <w:r>
              <w:rPr/>
              <w:t> </w:t>
            </w:r>
          </w:p>
        </w:tc>
        <w:tc>
          <w:tcPr>
            <w:tcW w:w="151" w:type="dxa"/>
            <w:tcBorders/>
            <w:vAlign w:val="center"/>
          </w:tcPr>
          <w:p>
            <w:pPr>
              <w:pStyle w:val="TableContents"/>
              <w:bidi w:val="0"/>
              <w:spacing w:before="0" w:after="283"/>
              <w:jc w:val="both"/>
              <w:rPr>
                <w:sz w:val="20"/>
              </w:rPr>
            </w:pPr>
            <w:r>
              <w:rPr>
                <w:sz w:val="20"/>
              </w:rPr>
              <w:t>1.</w:t>
            </w:r>
          </w:p>
        </w:tc>
        <w:tc>
          <w:tcPr>
            <w:tcW w:w="9979" w:type="dxa"/>
            <w:tcBorders/>
            <w:vAlign w:val="center"/>
          </w:tcPr>
          <w:p>
            <w:pPr>
              <w:pStyle w:val="TableContents"/>
              <w:bidi w:val="0"/>
              <w:spacing w:before="0" w:after="283"/>
              <w:jc w:val="both"/>
              <w:rPr>
                <w:sz w:val="20"/>
              </w:rPr>
            </w:pPr>
            <w:r>
              <w:rPr>
                <w:sz w:val="20"/>
              </w:rPr>
              <w:t>The Report fully complies with the requirements of Section 13(a) or 15(d), as applicable, of the Securities Exchange Act of 1934, as amended; and</w:t>
            </w:r>
          </w:p>
        </w:tc>
      </w:tr>
      <w:tr>
        <w:trPr/>
        <w:tc>
          <w:tcPr>
            <w:tcW w:w="75" w:type="dxa"/>
            <w:tcBorders/>
            <w:vAlign w:val="center"/>
          </w:tcPr>
          <w:p>
            <w:pPr>
              <w:pStyle w:val="TableContents"/>
              <w:bidi w:val="0"/>
              <w:spacing w:before="0" w:after="283"/>
              <w:jc w:val="both"/>
              <w:rPr/>
            </w:pPr>
            <w:r>
              <w:rPr/>
              <w:t> </w:t>
            </w:r>
          </w:p>
        </w:tc>
        <w:tc>
          <w:tcPr>
            <w:tcW w:w="151" w:type="dxa"/>
            <w:tcBorders/>
            <w:vAlign w:val="center"/>
          </w:tcPr>
          <w:p>
            <w:pPr>
              <w:pStyle w:val="TableContents"/>
              <w:bidi w:val="0"/>
              <w:spacing w:before="0" w:after="283"/>
              <w:jc w:val="both"/>
              <w:rPr>
                <w:sz w:val="20"/>
              </w:rPr>
            </w:pPr>
            <w:r>
              <w:rPr>
                <w:sz w:val="20"/>
              </w:rPr>
              <w:t>2.</w:t>
            </w:r>
          </w:p>
        </w:tc>
        <w:tc>
          <w:tcPr>
            <w:tcW w:w="9979" w:type="dxa"/>
            <w:tcBorders/>
            <w:vAlign w:val="center"/>
          </w:tcPr>
          <w:p>
            <w:pPr>
              <w:pStyle w:val="TableContents"/>
              <w:bidi w:val="0"/>
              <w:spacing w:before="0" w:after="283"/>
              <w:jc w:val="both"/>
              <w:rPr>
                <w:sz w:val="20"/>
              </w:rPr>
            </w:pPr>
            <w:r>
              <w:rPr>
                <w:sz w:val="20"/>
              </w:rPr>
              <w:t>Information contained in the Report fairly presents, in all material respects, the financial condition and results of operations of the Company as of the dates and for the periods expressed in the Report.</w:t>
            </w:r>
          </w:p>
        </w:tc>
      </w:tr>
    </w:tbl>
    <w:p>
      <w:pPr>
        <w:pStyle w:val="TextBody"/>
        <w:bidi w:val="0"/>
        <w:spacing w:before="0" w:after="0"/>
        <w:ind w:left="0" w:right="0" w:hanging="0"/>
        <w:jc w:val="both"/>
        <w:rPr>
          <w:caps w:val="false"/>
          <w:smallCaps w:val="false"/>
        </w:rPr>
      </w:pPr>
      <w:r>
        <w:rPr>
          <w:caps w:val="false"/>
          <w:smallCaps w:val="false"/>
        </w:rPr>
        <w:t> </w:t>
      </w:r>
    </w:p>
    <w:tbl>
      <w:tblPr>
        <w:tblW w:w="2360" w:type="dxa"/>
        <w:jc w:val="left"/>
        <w:tblInd w:w="0" w:type="dxa"/>
        <w:tblLayout w:type="fixed"/>
        <w:tblCellMar>
          <w:top w:w="0" w:type="dxa"/>
          <w:left w:w="0" w:type="dxa"/>
          <w:bottom w:w="28" w:type="dxa"/>
          <w:right w:w="0" w:type="dxa"/>
        </w:tblCellMar>
      </w:tblPr>
      <w:tblGrid>
        <w:gridCol w:w="2285"/>
        <w:gridCol w:w="75"/>
      </w:tblGrid>
      <w:tr>
        <w:trPr/>
        <w:tc>
          <w:tcPr>
            <w:tcW w:w="2285" w:type="dxa"/>
            <w:tcBorders>
              <w:bottom w:val="single" w:sz="12" w:space="0" w:color="000000"/>
            </w:tcBorders>
            <w:vAlign w:val="center"/>
          </w:tcPr>
          <w:p>
            <w:pPr>
              <w:pStyle w:val="TableContents"/>
              <w:bidi w:val="0"/>
              <w:spacing w:before="0" w:after="283"/>
              <w:jc w:val="both"/>
              <w:rPr>
                <w:i/>
                <w:sz w:val="20"/>
              </w:rPr>
            </w:pPr>
            <w:r>
              <w:rPr>
                <w:i/>
                <w:sz w:val="20"/>
              </w:rPr>
              <w:t>/s/ Zhenqiang Huang</w:t>
            </w:r>
          </w:p>
        </w:tc>
        <w:tc>
          <w:tcPr>
            <w:tcW w:w="75" w:type="dxa"/>
            <w:tcBorders/>
            <w:tcMar>
              <w:bottom w:w="0" w:type="dxa"/>
            </w:tcMar>
            <w:vAlign w:val="center"/>
          </w:tcPr>
          <w:p>
            <w:pPr>
              <w:pStyle w:val="TableContents"/>
              <w:bidi w:val="0"/>
              <w:spacing w:before="0" w:after="283"/>
              <w:jc w:val="both"/>
              <w:rPr/>
            </w:pPr>
            <w:r>
              <w:rPr/>
              <w:t> </w:t>
            </w:r>
          </w:p>
        </w:tc>
      </w:tr>
      <w:tr>
        <w:trPr/>
        <w:tc>
          <w:tcPr>
            <w:tcW w:w="2285" w:type="dxa"/>
            <w:tcBorders/>
            <w:tcMar>
              <w:bottom w:w="0" w:type="dxa"/>
            </w:tcMar>
            <w:vAlign w:val="center"/>
          </w:tcPr>
          <w:p>
            <w:pPr>
              <w:pStyle w:val="TableContents"/>
              <w:bidi w:val="0"/>
              <w:spacing w:before="0" w:after="283"/>
              <w:jc w:val="both"/>
              <w:rPr>
                <w:sz w:val="20"/>
              </w:rPr>
            </w:pPr>
            <w:r>
              <w:rPr>
                <w:sz w:val="20"/>
              </w:rPr>
              <w:t>Zhenqiang Huang</w:t>
            </w:r>
          </w:p>
        </w:tc>
        <w:tc>
          <w:tcPr>
            <w:tcW w:w="75" w:type="dxa"/>
            <w:tcBorders/>
            <w:tcMar>
              <w:bottom w:w="0" w:type="dxa"/>
            </w:tcMar>
            <w:vAlign w:val="center"/>
          </w:tcPr>
          <w:p>
            <w:pPr>
              <w:pStyle w:val="TableContents"/>
              <w:bidi w:val="0"/>
              <w:spacing w:before="0" w:after="283"/>
              <w:jc w:val="both"/>
              <w:rPr/>
            </w:pPr>
            <w:r>
              <w:rPr/>
              <w:t> </w:t>
            </w:r>
          </w:p>
        </w:tc>
      </w:tr>
      <w:tr>
        <w:trPr/>
        <w:tc>
          <w:tcPr>
            <w:tcW w:w="2285" w:type="dxa"/>
            <w:tcBorders/>
            <w:tcMar>
              <w:bottom w:w="0" w:type="dxa"/>
            </w:tcMar>
            <w:vAlign w:val="center"/>
          </w:tcPr>
          <w:p>
            <w:pPr>
              <w:pStyle w:val="TableContents"/>
              <w:bidi w:val="0"/>
              <w:spacing w:before="0" w:after="283"/>
              <w:jc w:val="both"/>
              <w:rPr>
                <w:sz w:val="20"/>
              </w:rPr>
            </w:pPr>
            <w:r>
              <w:rPr>
                <w:sz w:val="20"/>
              </w:rPr>
              <w:t xml:space="preserve">Chief Financial Officer and </w:t>
              <w:br/>
              <w:t>Principal Financial Officer</w:t>
            </w:r>
          </w:p>
        </w:tc>
        <w:tc>
          <w:tcPr>
            <w:tcW w:w="75" w:type="dxa"/>
            <w:tcBorders/>
            <w:tcMar>
              <w:bottom w:w="0" w:type="dxa"/>
            </w:tcMar>
            <w:vAlign w:val="center"/>
          </w:tcPr>
          <w:p>
            <w:pPr>
              <w:pStyle w:val="TableContents"/>
              <w:bidi w:val="0"/>
              <w:spacing w:before="0" w:after="283"/>
              <w:jc w:val="both"/>
              <w:rPr/>
            </w:pPr>
            <w:r>
              <w:rPr/>
              <w:t> </w:t>
            </w:r>
          </w:p>
        </w:tc>
      </w:tr>
      <w:tr>
        <w:trPr/>
        <w:tc>
          <w:tcPr>
            <w:tcW w:w="2285"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2285" w:type="dxa"/>
            <w:tcBorders/>
            <w:tcMar>
              <w:bottom w:w="0" w:type="dxa"/>
            </w:tcMar>
            <w:vAlign w:val="center"/>
          </w:tcPr>
          <w:p>
            <w:pPr>
              <w:pStyle w:val="TableContents"/>
              <w:bidi w:val="0"/>
              <w:spacing w:before="0" w:after="283"/>
              <w:jc w:val="both"/>
              <w:rPr>
                <w:sz w:val="20"/>
              </w:rPr>
            </w:pPr>
            <w:r>
              <w:rPr>
                <w:sz w:val="20"/>
              </w:rPr>
              <w:t>Dated: February 11, 2026</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this Report pursuant to Section 906 of the Sarbanes-Oxley Act of 2002 and shall not be deemed filed by the Company for purposes of Section 18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63685/000121390025111197/ea026557901ex3-1_richtech.htm" TargetMode="External"/><Relationship Id="rId3" Type="http://schemas.openxmlformats.org/officeDocument/2006/relationships/hyperlink" Target="https://www.sec.gov/Archives/edgar/data/1963685/000121390025111197/ea026557901ex10-1_richtech.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15280</Words>
  <Characters>84822</Characters>
  <CharactersWithSpaces>101277</CharactersWithSpaces>
  <Paragraphs>4271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